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rPr>
      </w:pPr>
    </w:p>
    <w:p>
      <w:pPr>
        <w:rPr>
          <w:rFonts w:hint="eastAsia" w:ascii="宋体"/>
          <w:sz w:val="28"/>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重庆市交通局关于</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进一步加强和规范公路水运工程</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施工安全简易程序行政处罚的通知</w:t>
      </w:r>
    </w:p>
    <w:p>
      <w:pPr>
        <w:spacing w:line="600" w:lineRule="exact"/>
        <w:jc w:val="center"/>
        <w:rPr>
          <w:rFonts w:hint="eastAsia" w:ascii="方正小标宋_GBK" w:eastAsia="方正小标宋_GBK"/>
          <w:sz w:val="44"/>
          <w:szCs w:val="44"/>
        </w:rPr>
      </w:pPr>
      <w:bookmarkStart w:id="0" w:name="SignEnd"/>
      <w:bookmarkEnd w:id="0"/>
      <w:bookmarkStart w:id="1" w:name="SignStart"/>
      <w:bookmarkEnd w:id="1"/>
      <w:r>
        <w:rPr>
          <w:rFonts w:hint="eastAsia" w:ascii="方正仿宋_GBK" w:eastAsia="方正仿宋_GBK"/>
          <w:color w:val="000000"/>
          <w:sz w:val="32"/>
        </w:rPr>
        <w:t>渝交规〔2021〕2号</w:t>
      </w:r>
    </w:p>
    <w:p>
      <w:pPr>
        <w:spacing w:line="600" w:lineRule="exact"/>
        <w:ind w:firstLine="640" w:firstLineChars="200"/>
        <w:rPr>
          <w:rFonts w:ascii="方正仿宋_GBK" w:eastAsia="方正仿宋_GBK"/>
          <w:sz w:val="32"/>
          <w:szCs w:val="32"/>
        </w:rPr>
      </w:pPr>
    </w:p>
    <w:p>
      <w:pPr>
        <w:spacing w:line="600" w:lineRule="exact"/>
        <w:rPr>
          <w:rFonts w:ascii="方正仿宋_GBK" w:eastAsia="方正仿宋_GBK"/>
          <w:sz w:val="32"/>
          <w:szCs w:val="32"/>
        </w:rPr>
      </w:pPr>
      <w:r>
        <w:rPr>
          <w:rFonts w:hint="eastAsia" w:ascii="方正仿宋_GBK" w:eastAsia="方正仿宋_GBK"/>
          <w:sz w:val="32"/>
          <w:szCs w:val="32"/>
        </w:rPr>
        <w:t>各区县（自治县）交通局、市交通执法总队：</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为深入贯彻落实习近平总书记关于安全生产重要思想论述，树牢安全发展理念，强化依法治理，用法治思维和法治手段解决安全生产问题，有效惩治我市公路水运工程施工现场常见安全生产违法行为，加强施工生产安全事故防控，提升执法监管效能，根据《中华人民共和国行政处罚法》《交通运输行政执法程序规定》（交通运输部令</w:t>
      </w:r>
      <w:r>
        <w:rPr>
          <w:rFonts w:ascii="方正仿宋_GBK" w:eastAsia="方正仿宋_GBK"/>
          <w:sz w:val="32"/>
          <w:szCs w:val="32"/>
        </w:rPr>
        <w:t>2019</w:t>
      </w:r>
      <w:r>
        <w:rPr>
          <w:rFonts w:hint="eastAsia" w:ascii="方正仿宋_GBK" w:eastAsia="方正仿宋_GBK"/>
          <w:sz w:val="32"/>
          <w:szCs w:val="32"/>
        </w:rPr>
        <w:t>年第</w:t>
      </w:r>
      <w:r>
        <w:rPr>
          <w:rFonts w:ascii="方正仿宋_GBK" w:eastAsia="方正仿宋_GBK"/>
          <w:sz w:val="32"/>
          <w:szCs w:val="32"/>
        </w:rPr>
        <w:t>9</w:t>
      </w:r>
      <w:r>
        <w:rPr>
          <w:rFonts w:hint="eastAsia" w:ascii="方正仿宋_GBK" w:eastAsia="方正仿宋_GBK"/>
          <w:sz w:val="32"/>
          <w:szCs w:val="32"/>
        </w:rPr>
        <w:t>号）和《重庆市建设工程安全生产管理办法》（市政府令第</w:t>
      </w:r>
      <w:r>
        <w:rPr>
          <w:rFonts w:ascii="方正仿宋_GBK" w:eastAsia="方正仿宋_GBK"/>
          <w:sz w:val="32"/>
          <w:szCs w:val="32"/>
        </w:rPr>
        <w:t>289</w:t>
      </w:r>
      <w:r>
        <w:rPr>
          <w:rFonts w:hint="eastAsia" w:ascii="方正仿宋_GBK" w:eastAsia="方正仿宋_GBK"/>
          <w:sz w:val="32"/>
          <w:szCs w:val="32"/>
        </w:rPr>
        <w:t>号）的有关规定，现就加强和规范公路水运工程施工安全生产简易程序行政处罚工作提出如下工作要求，请认真贯彻落实。</w:t>
      </w:r>
    </w:p>
    <w:p>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一、公路水运工程施工安全生产简易程序行政处罚适用范围</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依据《重庆市建设工程安全生产管理办法》第四十五条规定作出行政处罚决定的，可以适用简易程序。相关适用情形如下：</w:t>
      </w:r>
    </w:p>
    <w:p>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（一）未正确使用安全防护用品的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1</w:t>
      </w:r>
      <w:r>
        <w:rPr>
          <w:rFonts w:hint="eastAsia" w:ascii="方正仿宋_GBK" w:eastAsia="方正仿宋_GBK"/>
          <w:sz w:val="32"/>
          <w:szCs w:val="32"/>
        </w:rPr>
        <w:t>．进入施工现场人员未佩戴安全帽的；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2</w:t>
      </w:r>
      <w:r>
        <w:rPr>
          <w:rFonts w:hint="eastAsia" w:ascii="方正仿宋_GBK" w:eastAsia="方正仿宋_GBK"/>
          <w:sz w:val="32"/>
          <w:szCs w:val="32"/>
        </w:rPr>
        <w:t>．人员在</w:t>
      </w:r>
      <w:r>
        <w:rPr>
          <w:rFonts w:ascii="方正仿宋_GBK" w:eastAsia="方正仿宋_GBK"/>
          <w:sz w:val="32"/>
          <w:szCs w:val="32"/>
        </w:rPr>
        <w:t>2</w:t>
      </w:r>
      <w:r>
        <w:rPr>
          <w:rFonts w:hint="eastAsia" w:ascii="方正仿宋_GBK" w:eastAsia="方正仿宋_GBK"/>
          <w:sz w:val="32"/>
          <w:szCs w:val="32"/>
        </w:rPr>
        <w:t>米及以上的无可靠安全防护设施的高处、悬崖和陡坡作业时，未系挂安全带的；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3</w:t>
      </w:r>
      <w:r>
        <w:rPr>
          <w:rFonts w:hint="eastAsia" w:ascii="方正仿宋_GBK" w:eastAsia="方正仿宋_GBK"/>
          <w:sz w:val="32"/>
          <w:szCs w:val="32"/>
        </w:rPr>
        <w:t>．水上作业人员未正确穿戴救生衣等个人安全防护用品的；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4</w:t>
      </w:r>
      <w:r>
        <w:rPr>
          <w:rFonts w:hint="eastAsia" w:ascii="方正仿宋_GBK" w:eastAsia="方正仿宋_GBK"/>
          <w:sz w:val="32"/>
          <w:szCs w:val="32"/>
        </w:rPr>
        <w:t>．人工开挖支挡抗滑桩施工，孔内作业人员未戴安全帽，或未系安全带，或未穿防滑鞋，或安全绳未系在孔口的；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5</w:t>
      </w:r>
      <w:r>
        <w:rPr>
          <w:rFonts w:hint="eastAsia" w:ascii="方正仿宋_GBK" w:eastAsia="方正仿宋_GBK"/>
          <w:sz w:val="32"/>
          <w:szCs w:val="32"/>
        </w:rPr>
        <w:t>．桥涵工程预应力混凝土工程采用后张法施工的，管道压浆作业人员未佩戴护目镜的；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6</w:t>
      </w:r>
      <w:r>
        <w:rPr>
          <w:rFonts w:hint="eastAsia" w:ascii="方正仿宋_GBK" w:eastAsia="方正仿宋_GBK"/>
          <w:sz w:val="32"/>
          <w:szCs w:val="32"/>
        </w:rPr>
        <w:t>．公路工程施工，高边坡、陡崖、沿溪线的现浇混凝土护栏施工，作业人员未采取防坠落的措施的；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7</w:t>
      </w:r>
      <w:r>
        <w:rPr>
          <w:rFonts w:hint="eastAsia" w:ascii="方正仿宋_GBK" w:eastAsia="方正仿宋_GBK"/>
          <w:sz w:val="32"/>
          <w:szCs w:val="32"/>
        </w:rPr>
        <w:t>．挖孔桩孔内作业人员未戴安全帽，或未系安全带，或未穿防水绝缘胶鞋，或安全带的保险绳未固定在孔口上的；</w:t>
      </w:r>
    </w:p>
    <w:p>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（二）未设置临边洞口防护设施的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8</w:t>
      </w:r>
      <w:r>
        <w:rPr>
          <w:rFonts w:hint="eastAsia" w:ascii="方正仿宋_GBK" w:eastAsia="方正仿宋_GBK"/>
          <w:sz w:val="32"/>
          <w:szCs w:val="32"/>
        </w:rPr>
        <w:t>．需临时拆除或变动防护措施时，未采取能替代原防护措施的可靠措施的，或作业后未立即恢复的；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9</w:t>
      </w:r>
      <w:r>
        <w:rPr>
          <w:rFonts w:hint="eastAsia" w:ascii="方正仿宋_GBK" w:eastAsia="方正仿宋_GBK"/>
          <w:sz w:val="32"/>
          <w:szCs w:val="32"/>
        </w:rPr>
        <w:t>．坠落高度基准面</w:t>
      </w:r>
      <w:r>
        <w:rPr>
          <w:rFonts w:ascii="方正仿宋_GBK" w:eastAsia="方正仿宋_GBK"/>
          <w:sz w:val="32"/>
          <w:szCs w:val="32"/>
        </w:rPr>
        <w:t>2米</w:t>
      </w:r>
      <w:r>
        <w:rPr>
          <w:rFonts w:hint="eastAsia" w:ascii="方正仿宋_GBK" w:eastAsia="方正仿宋_GBK"/>
          <w:sz w:val="32"/>
          <w:szCs w:val="32"/>
        </w:rPr>
        <w:t>及以上进行临边作业时，未在临空一侧设置防护栏杆的；或未采用密目式安全立网或工具式栏板封闭的；或者施工升降机与建筑物间设置的通道平台两侧边，未设置防护栏杆、挡脚板或未采用密目式安全立网或工具式栏板封闭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10</w:t>
      </w:r>
      <w:r>
        <w:rPr>
          <w:rFonts w:hint="eastAsia" w:ascii="方正仿宋_GBK" w:eastAsia="方正仿宋_GBK"/>
          <w:sz w:val="32"/>
          <w:szCs w:val="32"/>
        </w:rPr>
        <w:t>．洞口作业区域，未设置洞口防坠落措施的；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11</w:t>
      </w:r>
      <w:r>
        <w:rPr>
          <w:rFonts w:hint="eastAsia" w:ascii="方正仿宋_GBK" w:eastAsia="方正仿宋_GBK"/>
          <w:sz w:val="32"/>
          <w:szCs w:val="32"/>
        </w:rPr>
        <w:t>．基准面以上</w:t>
      </w:r>
      <w:r>
        <w:rPr>
          <w:rFonts w:ascii="方正仿宋_GBK" w:eastAsia="方正仿宋_GBK"/>
          <w:sz w:val="32"/>
          <w:szCs w:val="32"/>
        </w:rPr>
        <w:t>2米</w:t>
      </w:r>
      <w:r>
        <w:rPr>
          <w:rFonts w:hint="eastAsia" w:ascii="方正仿宋_GBK" w:eastAsia="方正仿宋_GBK"/>
          <w:sz w:val="32"/>
          <w:szCs w:val="32"/>
        </w:rPr>
        <w:t>安装模板未搭设脚手架或施工平台的；或作业高度超过</w:t>
      </w:r>
      <w:r>
        <w:rPr>
          <w:rFonts w:ascii="方正仿宋_GBK" w:eastAsia="方正仿宋_GBK"/>
          <w:sz w:val="32"/>
          <w:szCs w:val="32"/>
        </w:rPr>
        <w:t>2米</w:t>
      </w:r>
      <w:r>
        <w:rPr>
          <w:rFonts w:hint="eastAsia" w:ascii="方正仿宋_GBK" w:eastAsia="方正仿宋_GBK"/>
          <w:sz w:val="32"/>
          <w:szCs w:val="32"/>
        </w:rPr>
        <w:t>的钢筋骨架未搭设脚手架或施工平台的；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12</w:t>
      </w:r>
      <w:r>
        <w:rPr>
          <w:rFonts w:hint="eastAsia" w:ascii="方正仿宋_GBK" w:eastAsia="方正仿宋_GBK"/>
          <w:sz w:val="32"/>
          <w:szCs w:val="32"/>
        </w:rPr>
        <w:t>．公路工程施工（临时码头和栈桥），栈桥两侧和栈桥码头四周未设置高度不低于</w:t>
      </w:r>
      <w:r>
        <w:rPr>
          <w:rFonts w:ascii="方正仿宋_GBK" w:eastAsia="方正仿宋_GBK"/>
          <w:sz w:val="32"/>
          <w:szCs w:val="32"/>
        </w:rPr>
        <w:t>1.2米</w:t>
      </w:r>
      <w:r>
        <w:rPr>
          <w:rFonts w:hint="eastAsia" w:ascii="方正仿宋_GBK" w:eastAsia="方正仿宋_GBK"/>
          <w:sz w:val="32"/>
          <w:szCs w:val="32"/>
        </w:rPr>
        <w:t>的防护栏杆的；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13</w:t>
      </w:r>
      <w:r>
        <w:rPr>
          <w:rFonts w:hint="eastAsia" w:ascii="方正仿宋_GBK" w:eastAsia="方正仿宋_GBK"/>
          <w:sz w:val="32"/>
          <w:szCs w:val="32"/>
        </w:rPr>
        <w:t>．公路工程施工，斜拉桥已拼接的钢箱梁临边未设置防护栏杆的；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14</w:t>
      </w:r>
      <w:r>
        <w:rPr>
          <w:rFonts w:hint="eastAsia" w:ascii="方正仿宋_GBK" w:eastAsia="方正仿宋_GBK"/>
          <w:sz w:val="32"/>
          <w:szCs w:val="32"/>
        </w:rPr>
        <w:t>．公路工程施工，隧道竖井进口周围未设置防护栏和安全门的；</w:t>
      </w:r>
    </w:p>
    <w:p>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（三）吊运物体无人指挥的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15</w:t>
      </w:r>
      <w:r>
        <w:rPr>
          <w:rFonts w:hint="eastAsia" w:ascii="方正仿宋_GBK" w:eastAsia="方正仿宋_GBK"/>
          <w:sz w:val="32"/>
          <w:szCs w:val="32"/>
        </w:rPr>
        <w:t>．吊运物体无人指挥的；</w:t>
      </w:r>
    </w:p>
    <w:p>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（四）使用破损的用电防护设施、违章使用用电设备的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16</w:t>
      </w:r>
      <w:r>
        <w:rPr>
          <w:rFonts w:hint="eastAsia" w:ascii="方正仿宋_GBK" w:eastAsia="方正仿宋_GBK"/>
          <w:sz w:val="32"/>
          <w:szCs w:val="32"/>
        </w:rPr>
        <w:t>．施工现场临时用电工程专用的电源中性点直接接地的</w:t>
      </w:r>
      <w:r>
        <w:rPr>
          <w:rFonts w:ascii="方正仿宋_GBK" w:eastAsia="方正仿宋_GBK"/>
          <w:sz w:val="32"/>
          <w:szCs w:val="32"/>
        </w:rPr>
        <w:t>220/380V</w:t>
      </w:r>
      <w:r>
        <w:rPr>
          <w:rFonts w:hint="eastAsia" w:ascii="方正仿宋_GBK" w:eastAsia="方正仿宋_GBK"/>
          <w:sz w:val="32"/>
          <w:szCs w:val="32"/>
        </w:rPr>
        <w:t>三相四线制低压电力系统，未采用三级配电系统的；或未采用</w:t>
      </w:r>
      <w:r>
        <w:rPr>
          <w:rFonts w:ascii="方正仿宋_GBK" w:eastAsia="方正仿宋_GBK"/>
          <w:sz w:val="32"/>
          <w:szCs w:val="32"/>
        </w:rPr>
        <w:t>TN-S</w:t>
      </w:r>
      <w:r>
        <w:rPr>
          <w:rFonts w:hint="eastAsia" w:ascii="方正仿宋_GBK" w:eastAsia="方正仿宋_GBK"/>
          <w:sz w:val="32"/>
          <w:szCs w:val="32"/>
        </w:rPr>
        <w:t>接零保护系统的；或未采用二级漏电保护系统的；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17</w:t>
      </w:r>
      <w:r>
        <w:rPr>
          <w:rFonts w:hint="eastAsia" w:ascii="方正仿宋_GBK" w:eastAsia="方正仿宋_GBK"/>
          <w:sz w:val="32"/>
          <w:szCs w:val="32"/>
        </w:rPr>
        <w:t>．发电机组电源与其他电源未相互闭锁的；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18</w:t>
      </w:r>
      <w:r>
        <w:rPr>
          <w:rFonts w:hint="eastAsia" w:ascii="方正仿宋_GBK" w:eastAsia="方正仿宋_GBK"/>
          <w:sz w:val="32"/>
          <w:szCs w:val="32"/>
        </w:rPr>
        <w:t>．消防泵、施工升降机、塔式起重机、混凝土输送泵等大型设备未设专用配电箱的；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19</w:t>
      </w:r>
      <w:r>
        <w:rPr>
          <w:rFonts w:hint="eastAsia" w:ascii="方正仿宋_GBK" w:eastAsia="方正仿宋_GBK"/>
          <w:sz w:val="32"/>
          <w:szCs w:val="32"/>
        </w:rPr>
        <w:t>．配电箱内的连接导线有接头、或线芯损伤、或断股的；或配电箱外壳未通过保护导体（</w:t>
      </w:r>
      <w:r>
        <w:rPr>
          <w:rFonts w:ascii="方正仿宋_GBK" w:eastAsia="方正仿宋_GBK"/>
          <w:sz w:val="32"/>
          <w:szCs w:val="32"/>
        </w:rPr>
        <w:t>PE</w:t>
      </w:r>
      <w:r>
        <w:rPr>
          <w:rFonts w:hint="eastAsia" w:ascii="方正仿宋_GBK" w:eastAsia="方正仿宋_GBK"/>
          <w:sz w:val="32"/>
          <w:szCs w:val="32"/>
        </w:rPr>
        <w:t>）汇流排可靠接地的；或末级配电箱进线未设置总断路器的；或末级配电箱各分支回路未设置具有短路、过负荷、剩余电流动作保护功能的电器的；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20</w:t>
      </w:r>
      <w:r>
        <w:rPr>
          <w:rFonts w:hint="eastAsia" w:ascii="方正仿宋_GBK" w:eastAsia="方正仿宋_GBK"/>
          <w:sz w:val="32"/>
          <w:szCs w:val="32"/>
        </w:rPr>
        <w:t>．配电线路跨越在建工程、脚手架或临时建筑物的；或敷设在树木上的；或直接绑挂在金属构架和金属脚手架上的；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21</w:t>
      </w:r>
      <w:r>
        <w:rPr>
          <w:rFonts w:hint="eastAsia" w:ascii="方正仿宋_GBK" w:eastAsia="方正仿宋_GBK"/>
          <w:sz w:val="32"/>
          <w:szCs w:val="32"/>
        </w:rPr>
        <w:t>．总配电箱、分配电箱及架空线路终端保护导体（</w:t>
      </w:r>
      <w:r>
        <w:rPr>
          <w:rFonts w:ascii="方正仿宋_GBK" w:eastAsia="方正仿宋_GBK"/>
          <w:sz w:val="32"/>
          <w:szCs w:val="32"/>
        </w:rPr>
        <w:t>PE</w:t>
      </w:r>
      <w:r>
        <w:rPr>
          <w:rFonts w:hint="eastAsia" w:ascii="方正仿宋_GBK" w:eastAsia="方正仿宋_GBK"/>
          <w:sz w:val="32"/>
          <w:szCs w:val="32"/>
        </w:rPr>
        <w:t>）未做重复接地的，或重复接地电阻大于</w:t>
      </w:r>
      <w:r>
        <w:rPr>
          <w:rFonts w:ascii="方正仿宋_GBK" w:eastAsia="方正仿宋_GBK"/>
          <w:sz w:val="32"/>
          <w:szCs w:val="32"/>
        </w:rPr>
        <w:t>10</w:t>
      </w:r>
      <w:r>
        <w:rPr>
          <w:rFonts w:hint="eastAsia" w:ascii="方正仿宋_GBK" w:eastAsia="方正仿宋_GBK"/>
          <w:sz w:val="32"/>
          <w:szCs w:val="32"/>
        </w:rPr>
        <w:t>Ω的；或人工接地体采用螺纹钢筋的；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22</w:t>
      </w:r>
      <w:r>
        <w:rPr>
          <w:rFonts w:hint="eastAsia" w:ascii="方正仿宋_GBK" w:eastAsia="方正仿宋_GBK"/>
          <w:sz w:val="32"/>
          <w:szCs w:val="32"/>
        </w:rPr>
        <w:t>．施工现场和临时生活区的高度在</w:t>
      </w:r>
      <w:r>
        <w:rPr>
          <w:rFonts w:ascii="方正仿宋_GBK" w:eastAsia="方正仿宋_GBK"/>
          <w:sz w:val="32"/>
          <w:szCs w:val="32"/>
        </w:rPr>
        <w:t>20</w:t>
      </w:r>
      <w:r>
        <w:rPr>
          <w:rFonts w:hint="eastAsia" w:ascii="方正仿宋_GBK" w:eastAsia="方正仿宋_GBK"/>
          <w:sz w:val="32"/>
          <w:szCs w:val="32"/>
        </w:rPr>
        <w:t>米及以上的钢脚手架、正在施工的建筑物及塔式起重机、井子架、施工升降机、机具等设施未设置防雷保护措施，且未在其他建筑物或设施的防雷保护范围之内的；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23</w:t>
      </w:r>
      <w:r>
        <w:rPr>
          <w:rFonts w:hint="eastAsia" w:ascii="方正仿宋_GBK" w:eastAsia="方正仿宋_GBK"/>
          <w:sz w:val="32"/>
          <w:szCs w:val="32"/>
        </w:rPr>
        <w:t>．公路工程施工，临时用电配电箱、开关箱未选用专业厂家定型、合格产品的；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24</w:t>
      </w:r>
      <w:r>
        <w:rPr>
          <w:rFonts w:hint="eastAsia" w:ascii="方正仿宋_GBK" w:eastAsia="方正仿宋_GBK"/>
          <w:sz w:val="32"/>
          <w:szCs w:val="32"/>
        </w:rPr>
        <w:t>．水运工程施工，潮湿多雨季节，未定期检测机电设备的绝缘电阻和接地装置的；或电气开关未采取防雨措施的；</w:t>
      </w:r>
    </w:p>
    <w:p>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（五）其他施工现场违法行为</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25</w:t>
      </w:r>
      <w:r>
        <w:rPr>
          <w:rFonts w:hint="eastAsia" w:ascii="方正仿宋_GBK" w:eastAsia="方正仿宋_GBK"/>
          <w:sz w:val="32"/>
          <w:szCs w:val="32"/>
        </w:rPr>
        <w:t>．起重吊装采用斜拉、斜吊的；或起吊埋于地下或黏结在地面上的构件的；或超载吊装的；或吊装重量不明的重型构件和设备的；或使用起重机载运人员的；或在已吊起的构件下面或起重臂下旋转范围内作业或通行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26</w:t>
      </w:r>
      <w:r>
        <w:rPr>
          <w:rFonts w:hint="eastAsia" w:ascii="方正仿宋_GBK" w:eastAsia="方正仿宋_GBK"/>
          <w:sz w:val="32"/>
          <w:szCs w:val="32"/>
        </w:rPr>
        <w:t>．维修、保养或检查清理搅拌系统、供料系绕，未封闭下料门的；或未切断电源的；或未锁定安全保护装置的；或未悬挂“严禁合闸”安全警示标志的；或未派专人看守的；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27</w:t>
      </w:r>
      <w:r>
        <w:rPr>
          <w:rFonts w:hint="eastAsia" w:ascii="方正仿宋_GBK" w:eastAsia="方正仿宋_GBK"/>
          <w:sz w:val="32"/>
          <w:szCs w:val="32"/>
        </w:rPr>
        <w:t>．爆破作业未设警戒区、警戒人员或警戒船的；或起爆前未撤出人员的；或未按规定发出声、光等警示信号的；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28</w:t>
      </w:r>
      <w:r>
        <w:rPr>
          <w:rFonts w:hint="eastAsia" w:ascii="方正仿宋_GBK" w:eastAsia="方正仿宋_GBK"/>
          <w:sz w:val="32"/>
          <w:szCs w:val="32"/>
        </w:rPr>
        <w:t>．冬季施工，办公、生活区使用电炉、碘钨灯等取暖的；或煤炭炉取暖未采取防火、防一氧化碳中毒的措施的；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29</w:t>
      </w:r>
      <w:r>
        <w:rPr>
          <w:rFonts w:hint="eastAsia" w:ascii="方正仿宋_GBK" w:eastAsia="方正仿宋_GBK"/>
          <w:sz w:val="32"/>
          <w:szCs w:val="32"/>
        </w:rPr>
        <w:t>．人工开挖支挡抗滑桩施工，未持续通风的；或未配置气体浓度检测仪的；或孔内爆破作业，爆破前，相邻桩孔人员未撤离的；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30</w:t>
      </w:r>
      <w:r>
        <w:rPr>
          <w:rFonts w:hint="eastAsia" w:ascii="方正仿宋_GBK" w:eastAsia="方正仿宋_GBK"/>
          <w:sz w:val="32"/>
          <w:szCs w:val="32"/>
        </w:rPr>
        <w:t>．公路工程施工，工程货运车辆运送人员的；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31</w:t>
      </w:r>
      <w:r>
        <w:rPr>
          <w:rFonts w:hint="eastAsia" w:ascii="方正仿宋_GBK" w:eastAsia="方正仿宋_GBK"/>
          <w:sz w:val="32"/>
          <w:szCs w:val="32"/>
        </w:rPr>
        <w:t>．公路工程施工，雨天露天电焊作业的；或潮湿区域作业人员未在干燥绝缘物体上焊接作业的；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32</w:t>
      </w:r>
      <w:r>
        <w:rPr>
          <w:rFonts w:hint="eastAsia" w:ascii="方正仿宋_GBK" w:eastAsia="方正仿宋_GBK"/>
          <w:sz w:val="32"/>
          <w:szCs w:val="32"/>
        </w:rPr>
        <w:t>．公路工程施工，吊篮和工作台的脚手板未铺平绑牢，或出现探头板的；</w:t>
      </w:r>
      <w:r>
        <w:rPr>
          <w:rFonts w:ascii="方正仿宋_GBK" w:eastAsia="方正仿宋_GBK"/>
          <w:sz w:val="32"/>
          <w:szCs w:val="32"/>
        </w:rPr>
        <w:t xml:space="preserve"> </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33</w:t>
      </w:r>
      <w:r>
        <w:rPr>
          <w:rFonts w:hint="eastAsia" w:ascii="方正仿宋_GBK" w:eastAsia="方正仿宋_GBK"/>
          <w:sz w:val="32"/>
          <w:szCs w:val="32"/>
        </w:rPr>
        <w:t>．公路工程施工，脚手架拆除作业，未由上而下逐层进行的；或存在上下同时作业的；或连墙件未随脚手架逐层拆除或提前拆除的；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34</w:t>
      </w:r>
      <w:r>
        <w:rPr>
          <w:rFonts w:hint="eastAsia" w:ascii="方正仿宋_GBK" w:eastAsia="方正仿宋_GBK"/>
          <w:sz w:val="32"/>
          <w:szCs w:val="32"/>
        </w:rPr>
        <w:t>．公路工程悬索桥施工，猫道架设，承重索及其他钢丝绳投入使用前未严格验收的；或使用断丝、变形、锈蚀等超出相应规定的钢丝绳的；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35</w:t>
      </w:r>
      <w:r>
        <w:rPr>
          <w:rFonts w:hint="eastAsia" w:ascii="方正仿宋_GBK" w:eastAsia="方正仿宋_GBK"/>
          <w:sz w:val="32"/>
          <w:szCs w:val="32"/>
        </w:rPr>
        <w:t>．公路工程施工，隧道内存放汽油、柴油、煤油、变压器油、雷管、炸药等易燃易爆物品的；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36</w:t>
      </w:r>
      <w:r>
        <w:rPr>
          <w:rFonts w:hint="eastAsia" w:ascii="方正仿宋_GBK" w:eastAsia="方正仿宋_GBK"/>
          <w:sz w:val="32"/>
          <w:szCs w:val="32"/>
        </w:rPr>
        <w:t>．水运工程施工，工程开工前</w:t>
      </w:r>
      <w:r>
        <w:rPr>
          <w:rFonts w:ascii="方正仿宋_GBK" w:eastAsia="方正仿宋_GBK"/>
          <w:sz w:val="32"/>
          <w:szCs w:val="32"/>
        </w:rPr>
        <w:t>,</w:t>
      </w:r>
      <w:r>
        <w:rPr>
          <w:rFonts w:hint="eastAsia" w:ascii="方正仿宋_GBK" w:eastAsia="方正仿宋_GBK"/>
          <w:sz w:val="32"/>
          <w:szCs w:val="32"/>
        </w:rPr>
        <w:t>单位、分部和分项工程向参加施工的人员进行安全技术交底，未履行签认手续的；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37</w:t>
      </w:r>
      <w:r>
        <w:rPr>
          <w:rFonts w:hint="eastAsia" w:ascii="方正仿宋_GBK" w:eastAsia="方正仿宋_GBK"/>
          <w:sz w:val="32"/>
          <w:szCs w:val="32"/>
        </w:rPr>
        <w:t>．水运工程施工，施工船舶无相应的有效证书的；或船员未持有与其岗位相适应的适任证书的；或从事潜水作业的人员未持有有效潜水员资格证书的；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38</w:t>
      </w:r>
      <w:r>
        <w:rPr>
          <w:rFonts w:hint="eastAsia" w:ascii="方正仿宋_GBK" w:eastAsia="方正仿宋_GBK"/>
          <w:sz w:val="32"/>
          <w:szCs w:val="32"/>
        </w:rPr>
        <w:t>．水运工程施工，氧气瓶或乙炔瓶使用钢绳、铁链直接捆绑或使用电磁吸盘等进行吊运的；或电焊、气割等明火作业点</w:t>
      </w:r>
      <w:r>
        <w:rPr>
          <w:rFonts w:ascii="方正仿宋_GBK" w:eastAsia="方正仿宋_GBK"/>
          <w:sz w:val="32"/>
          <w:szCs w:val="32"/>
        </w:rPr>
        <w:t>10米</w:t>
      </w:r>
      <w:r>
        <w:rPr>
          <w:rFonts w:hint="eastAsia" w:ascii="方正仿宋_GBK" w:eastAsia="方正仿宋_GBK"/>
          <w:sz w:val="32"/>
          <w:szCs w:val="32"/>
        </w:rPr>
        <w:t>范围内，存放氧气瓶、乙炔瓶等易燃易爆物品或其他可燃危险物品的；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39</w:t>
      </w:r>
      <w:r>
        <w:rPr>
          <w:rFonts w:hint="eastAsia" w:ascii="方正仿宋_GBK" w:eastAsia="方正仿宋_GBK"/>
          <w:sz w:val="32"/>
          <w:szCs w:val="32"/>
        </w:rPr>
        <w:t>．水运工程施工，起重吊装作业，所使用的钢丝绳和索具没有具备生产资质的制造厂商提供的出厂合格证或材质证明的；或起重绳索没有进行受力计算的；或索具、滑车等没有根据计算结果合理选配的；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40</w:t>
      </w:r>
      <w:r>
        <w:rPr>
          <w:rFonts w:hint="eastAsia" w:ascii="方正仿宋_GBK" w:eastAsia="方正仿宋_GBK"/>
          <w:sz w:val="32"/>
          <w:szCs w:val="32"/>
        </w:rPr>
        <w:t>．水运工程施工，水下爆破施工没有对钻爆船的杂散电流进行监测的；或钻孔爆破船施工时，临时存放的炸药和雷管没有分舱放置的；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41</w:t>
      </w:r>
      <w:r>
        <w:rPr>
          <w:rFonts w:hint="eastAsia" w:ascii="方正仿宋_GBK" w:eastAsia="方正仿宋_GBK"/>
          <w:sz w:val="32"/>
          <w:szCs w:val="32"/>
        </w:rPr>
        <w:t>．挖孔桩施工，孔深超过</w:t>
      </w:r>
      <w:r>
        <w:rPr>
          <w:rFonts w:ascii="方正仿宋_GBK" w:eastAsia="方正仿宋_GBK"/>
          <w:sz w:val="32"/>
          <w:szCs w:val="32"/>
        </w:rPr>
        <w:t>10</w:t>
      </w:r>
      <w:r>
        <w:rPr>
          <w:rFonts w:hint="eastAsia" w:ascii="方正仿宋_GBK" w:eastAsia="方正仿宋_GBK"/>
          <w:sz w:val="32"/>
          <w:szCs w:val="32"/>
        </w:rPr>
        <w:t>米或孔存在有害气体时，桩孔内未采取强制通风措施的；或孔内爆破作业，爆破前，其他桩孔内人员未全部撤离的；</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42</w:t>
      </w:r>
      <w:r>
        <w:rPr>
          <w:rFonts w:hint="eastAsia" w:ascii="方正仿宋_GBK" w:eastAsia="方正仿宋_GBK"/>
          <w:sz w:val="32"/>
          <w:szCs w:val="32"/>
        </w:rPr>
        <w:t>．施工船舶未在核定航区或作业水域内施工的。</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施工现场存在其他违反安全生产强制性标准的行为，仍可按照“其他施工现场违法行为”予以处罚。</w:t>
      </w:r>
    </w:p>
    <w:p>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二、简易程序行政处罚实施步骤</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（一）向施工现场人员出示交通运输行政执法证件并查明对方身份；</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（二）调查并收集必要的证据；</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（三）告知施工单位委托代理人或指定签收人违法事实、处罚理由和依据；</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（四）告知施工单位委托代理人或指定签收人享有的权利与义务；</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（五）听取施工单位委托代理人或指定签收人的陈述和申辩并进行复核；提出的事实、理由或者证据成立的，应当采纳；</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六）填写预定格式、编有号码的《当场行政处罚决定书》并当场交付施工单位委托代理人或指定签收人，告知施工单位在法定期限内可以依法申请行政复议或者提起行政诉讼；《当场行政处罚决定书》应当由执法人员签名，并有执法部门所属交通局印章；</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（七）施工单位委托代理人或指定签收人在《当场行政处罚决定书》上签名并按捺手印；</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（八）作出当场处罚决定之日起五日内，将《当场行政处罚决定书》副本提交执法部门备案；</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（九）严格执行罚缴分离制度，不当场收缴罚款。施工单位应当自收到处罚决定书之日起十五日内，到指定的银行缴纳罚款；具备条件的，也可以通过网上支付等方式缴纳罚款。</w:t>
      </w:r>
    </w:p>
    <w:p>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三、裁量基准</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一）对当事人“未正确使用安全防护用品的”“未设置临边洞口防护设施的”“吊运物体无人指挥的”“使用破损的用电防护设施、违章使用用电设备的”等违法行为实施处罚的，按照现行有效的《重庆市交通行政处罚裁量基准》有关规定裁量；</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（二）对当事人“其他施工现场违法行为”实施处罚的，其裁量基准为：发现</w:t>
      </w:r>
      <w:r>
        <w:rPr>
          <w:rFonts w:ascii="方正仿宋_GBK" w:eastAsia="方正仿宋_GBK"/>
          <w:sz w:val="32"/>
          <w:szCs w:val="32"/>
        </w:rPr>
        <w:t>1</w:t>
      </w:r>
      <w:r>
        <w:rPr>
          <w:rFonts w:hint="eastAsia" w:ascii="方正仿宋_GBK" w:eastAsia="方正仿宋_GBK"/>
          <w:sz w:val="32"/>
          <w:szCs w:val="32"/>
        </w:rPr>
        <w:t>处，处</w:t>
      </w:r>
      <w:r>
        <w:rPr>
          <w:rFonts w:ascii="方正仿宋_GBK" w:eastAsia="方正仿宋_GBK"/>
          <w:sz w:val="32"/>
          <w:szCs w:val="32"/>
        </w:rPr>
        <w:t>200</w:t>
      </w:r>
      <w:r>
        <w:rPr>
          <w:rFonts w:hint="eastAsia" w:ascii="方正仿宋_GBK" w:eastAsia="方正仿宋_GBK"/>
          <w:sz w:val="32"/>
          <w:szCs w:val="32"/>
        </w:rPr>
        <w:t>元罚款；发现</w:t>
      </w:r>
      <w:r>
        <w:rPr>
          <w:rFonts w:ascii="方正仿宋_GBK" w:eastAsia="方正仿宋_GBK"/>
          <w:sz w:val="32"/>
          <w:szCs w:val="32"/>
        </w:rPr>
        <w:t>2</w:t>
      </w:r>
      <w:r>
        <w:rPr>
          <w:rFonts w:hint="eastAsia" w:ascii="方正仿宋_GBK" w:eastAsia="方正仿宋_GBK"/>
          <w:sz w:val="32"/>
          <w:szCs w:val="32"/>
        </w:rPr>
        <w:t>处，处</w:t>
      </w:r>
      <w:r>
        <w:rPr>
          <w:rFonts w:ascii="方正仿宋_GBK" w:eastAsia="方正仿宋_GBK"/>
          <w:sz w:val="32"/>
          <w:szCs w:val="32"/>
        </w:rPr>
        <w:t>600</w:t>
      </w:r>
      <w:r>
        <w:rPr>
          <w:rFonts w:hint="eastAsia" w:ascii="方正仿宋_GBK" w:eastAsia="方正仿宋_GBK"/>
          <w:sz w:val="32"/>
          <w:szCs w:val="32"/>
        </w:rPr>
        <w:t>元罚款；发现</w:t>
      </w:r>
      <w:r>
        <w:rPr>
          <w:rFonts w:ascii="方正仿宋_GBK" w:eastAsia="方正仿宋_GBK"/>
          <w:sz w:val="32"/>
          <w:szCs w:val="32"/>
        </w:rPr>
        <w:t>3</w:t>
      </w:r>
      <w:r>
        <w:rPr>
          <w:rFonts w:hint="eastAsia" w:ascii="方正仿宋_GBK" w:eastAsia="方正仿宋_GBK"/>
          <w:sz w:val="32"/>
          <w:szCs w:val="32"/>
        </w:rPr>
        <w:t>处及以上，处</w:t>
      </w:r>
      <w:r>
        <w:rPr>
          <w:rFonts w:ascii="方正仿宋_GBK" w:eastAsia="方正仿宋_GBK"/>
          <w:sz w:val="32"/>
          <w:szCs w:val="32"/>
        </w:rPr>
        <w:t>1000</w:t>
      </w:r>
      <w:r>
        <w:rPr>
          <w:rFonts w:hint="eastAsia" w:ascii="方正仿宋_GBK" w:eastAsia="方正仿宋_GBK"/>
          <w:sz w:val="32"/>
          <w:szCs w:val="32"/>
        </w:rPr>
        <w:t>元罚款。</w:t>
      </w:r>
    </w:p>
    <w:p>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四、工作要求</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（一）违法行为造成生产安全事故或者其他严重后果的，应当适用一般程序实施行政处罚，并按照规定归集和公示相关行政处罚信息。</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二）对施工现场安全生产违法行为实施行政处罚时，应当责令当事人改正或者限期改正。导致重大事故隐患的，在重大事故隐患排除前或者排除过程中无法保证安全的，应当责令从危险区域撤出作业人员或者暂时停止施工，并按照规定挂牌督办。</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三）发现施工现场存在安全生产违法行为的，还应当调查是否存在“项目负责人未对建设工程安全生产具体负责”“施工现场专职安全生产管理人员未对建设工程安全生产进行现场监督检查”“工程监理人员未按照规定对危险性较大分部分项工程实施现场监理的，或者未对超过一定规模危险性加大的分部分项工程实施旁站监理”等违法行为。</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（四）鼓励利用科技信息化手段实施非现场行政处罚，相关实施步骤按照执法总队有关非现场行政处罚的程序规定执行。</w:t>
      </w:r>
    </w:p>
    <w:p>
      <w:pPr>
        <w:spacing w:line="560" w:lineRule="exact"/>
        <w:ind w:firstLine="640" w:firstLineChars="200"/>
        <w:rPr>
          <w:rFonts w:ascii="方正仿宋_GBK" w:eastAsia="方正仿宋_GBK"/>
          <w:sz w:val="32"/>
          <w:szCs w:val="32"/>
        </w:rPr>
      </w:pP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附件：</w:t>
      </w:r>
      <w:r>
        <w:rPr>
          <w:rFonts w:ascii="方正仿宋_GBK" w:eastAsia="方正仿宋_GBK"/>
          <w:sz w:val="32"/>
          <w:szCs w:val="32"/>
        </w:rPr>
        <w:t>1</w:t>
      </w:r>
      <w:r>
        <w:rPr>
          <w:rFonts w:hint="eastAsia" w:ascii="方正仿宋_GBK" w:eastAsia="方正仿宋_GBK"/>
          <w:sz w:val="32"/>
          <w:szCs w:val="32"/>
        </w:rPr>
        <w:t>．有关安全生产的强制性标准依据；</w:t>
      </w:r>
    </w:p>
    <w:p>
      <w:pPr>
        <w:spacing w:line="560" w:lineRule="exact"/>
        <w:ind w:firstLine="1600" w:firstLineChars="500"/>
        <w:rPr>
          <w:rFonts w:ascii="方正仿宋_GBK" w:eastAsia="方正仿宋_GBK"/>
          <w:sz w:val="32"/>
          <w:szCs w:val="32"/>
        </w:rPr>
      </w:pPr>
      <w:r>
        <w:rPr>
          <w:rFonts w:ascii="方正仿宋_GBK" w:eastAsia="方正仿宋_GBK"/>
          <w:sz w:val="32"/>
          <w:szCs w:val="32"/>
        </w:rPr>
        <w:t>2</w:t>
      </w:r>
      <w:r>
        <w:rPr>
          <w:rFonts w:hint="eastAsia" w:ascii="方正仿宋_GBK" w:eastAsia="方正仿宋_GBK"/>
          <w:sz w:val="32"/>
          <w:szCs w:val="32"/>
        </w:rPr>
        <w:t>．《当场行政处罚决定书》式样</w:t>
      </w:r>
    </w:p>
    <w:p>
      <w:pPr>
        <w:spacing w:line="560" w:lineRule="exact"/>
        <w:rPr>
          <w:rFonts w:ascii="方正仿宋_GBK" w:eastAsia="方正仿宋_GBK"/>
        </w:rPr>
      </w:pPr>
    </w:p>
    <w:p>
      <w:pPr>
        <w:wordWrap w:val="0"/>
        <w:spacing w:line="560" w:lineRule="exact"/>
        <w:ind w:firstLine="5440" w:firstLineChars="1700"/>
        <w:jc w:val="right"/>
        <w:rPr>
          <w:rFonts w:hint="default" w:ascii="方正仿宋_GBK" w:eastAsia="方正仿宋_GBK"/>
          <w:sz w:val="32"/>
          <w:szCs w:val="32"/>
          <w:lang w:val="en-US" w:eastAsia="zh-CN"/>
        </w:rPr>
      </w:pPr>
      <w:r>
        <w:rPr>
          <w:rFonts w:hint="eastAsia" w:ascii="方正仿宋_GBK" w:eastAsia="方正仿宋_GBK"/>
          <w:sz w:val="32"/>
          <w:szCs w:val="32"/>
        </w:rPr>
        <w:t>重庆市交通局</w:t>
      </w:r>
      <w:r>
        <w:rPr>
          <w:rFonts w:hint="eastAsia" w:ascii="方正仿宋_GBK" w:eastAsia="方正仿宋_GBK"/>
          <w:sz w:val="32"/>
          <w:szCs w:val="32"/>
          <w:lang w:val="en-US" w:eastAsia="zh-CN"/>
        </w:rPr>
        <w:t xml:space="preserve">  </w:t>
      </w:r>
    </w:p>
    <w:p>
      <w:pPr>
        <w:spacing w:line="560" w:lineRule="exact"/>
        <w:ind w:firstLine="5280" w:firstLineChars="1650"/>
        <w:jc w:val="right"/>
        <w:rPr>
          <w:rFonts w:hint="eastAsia" w:ascii="方正仿宋_GBK" w:eastAsia="方正仿宋_GBK"/>
          <w:sz w:val="32"/>
          <w:szCs w:val="32"/>
        </w:rPr>
      </w:pPr>
      <w:r>
        <w:rPr>
          <w:rFonts w:hint="eastAsia" w:ascii="方正仿宋_GBK" w:eastAsia="方正仿宋_GBK"/>
          <w:sz w:val="32"/>
          <w:szCs w:val="32"/>
        </w:rPr>
        <w:t>2021年3月5日</w:t>
      </w:r>
    </w:p>
    <w:p>
      <w:pPr>
        <w:rPr>
          <w:rFonts w:ascii="方正仿宋_GBK" w:eastAsia="方正仿宋_GBK"/>
        </w:rPr>
      </w:pPr>
    </w:p>
    <w:p>
      <w:pPr>
        <w:rPr>
          <w:rFonts w:ascii="方正仿宋_GBK" w:eastAsia="方正仿宋_GBK"/>
        </w:rPr>
      </w:pPr>
    </w:p>
    <w:p>
      <w:pPr>
        <w:rPr>
          <w:rFonts w:ascii="方正仿宋_GBK" w:eastAsia="方正仿宋_GBK"/>
        </w:rPr>
      </w:pPr>
    </w:p>
    <w:p>
      <w:pPr>
        <w:rPr>
          <w:rFonts w:ascii="方正仿宋_GBK" w:eastAsia="方正仿宋_GBK"/>
        </w:rPr>
      </w:pPr>
    </w:p>
    <w:p>
      <w:pPr>
        <w:rPr>
          <w:rFonts w:ascii="方正仿宋_GBK" w:eastAsia="方正仿宋_GBK"/>
        </w:rPr>
      </w:pPr>
    </w:p>
    <w:p>
      <w:pPr>
        <w:rPr>
          <w:rFonts w:ascii="方正仿宋_GBK" w:eastAsia="方正仿宋_GBK"/>
        </w:rPr>
      </w:pPr>
    </w:p>
    <w:p>
      <w:pPr>
        <w:rPr>
          <w:rFonts w:ascii="方正仿宋_GBK" w:eastAsia="方正仿宋_GBK"/>
        </w:rPr>
      </w:pPr>
    </w:p>
    <w:p>
      <w:pPr>
        <w:rPr>
          <w:rFonts w:ascii="方正仿宋_GBK" w:eastAsia="方正仿宋_GBK"/>
        </w:rPr>
      </w:pPr>
    </w:p>
    <w:p>
      <w:pPr>
        <w:rPr>
          <w:rFonts w:ascii="方正仿宋_GBK" w:eastAsia="方正仿宋_GBK"/>
        </w:rPr>
      </w:pPr>
    </w:p>
    <w:p>
      <w:pPr>
        <w:rPr>
          <w:rFonts w:ascii="方正仿宋_GBK" w:eastAsia="方正仿宋_GBK"/>
        </w:rPr>
      </w:pPr>
    </w:p>
    <w:p>
      <w:pPr>
        <w:rPr>
          <w:rFonts w:ascii="方正仿宋_GBK" w:eastAsia="方正仿宋_GBK"/>
        </w:rPr>
      </w:pPr>
    </w:p>
    <w:p>
      <w:pPr>
        <w:rPr>
          <w:rFonts w:ascii="方正仿宋_GBK" w:eastAsia="方正仿宋_GBK"/>
        </w:rPr>
      </w:pPr>
    </w:p>
    <w:p>
      <w:pPr>
        <w:rPr>
          <w:rFonts w:ascii="方正仿宋_GBK" w:eastAsia="方正仿宋_GBK"/>
        </w:rPr>
      </w:pPr>
    </w:p>
    <w:p>
      <w:pPr>
        <w:rPr>
          <w:rFonts w:ascii="方正仿宋_GBK" w:eastAsia="方正仿宋_GBK"/>
        </w:rPr>
      </w:pPr>
    </w:p>
    <w:p>
      <w:pPr>
        <w:rPr>
          <w:rFonts w:ascii="方正仿宋_GBK" w:eastAsia="方正仿宋_GBK"/>
        </w:rPr>
      </w:pPr>
    </w:p>
    <w:p>
      <w:pPr>
        <w:rPr>
          <w:rFonts w:ascii="方正仿宋_GBK" w:eastAsia="方正仿宋_GBK"/>
        </w:rPr>
      </w:pPr>
    </w:p>
    <w:p>
      <w:pPr>
        <w:rPr>
          <w:rFonts w:ascii="方正仿宋_GBK" w:eastAsia="方正仿宋_GBK"/>
        </w:rPr>
      </w:pPr>
    </w:p>
    <w:p>
      <w:pPr>
        <w:rPr>
          <w:rFonts w:ascii="方正仿宋_GBK" w:eastAsia="方正仿宋_GBK"/>
        </w:rPr>
      </w:pPr>
    </w:p>
    <w:p>
      <w:pPr>
        <w:rPr>
          <w:rFonts w:ascii="方正仿宋_GBK" w:eastAsia="方正仿宋_GBK"/>
        </w:rPr>
      </w:pPr>
    </w:p>
    <w:p>
      <w:pPr>
        <w:rPr>
          <w:rFonts w:ascii="方正仿宋_GBK" w:eastAsia="方正仿宋_GBK"/>
        </w:rPr>
      </w:pPr>
    </w:p>
    <w:p>
      <w:pPr>
        <w:rPr>
          <w:rFonts w:ascii="方正仿宋_GBK" w:eastAsia="方正仿宋_GBK"/>
        </w:rPr>
      </w:pPr>
    </w:p>
    <w:p>
      <w:pPr>
        <w:spacing w:line="600" w:lineRule="exact"/>
        <w:ind w:right="-107" w:rightChars="-51"/>
        <w:jc w:val="left"/>
        <w:rPr>
          <w:rFonts w:hint="eastAsia" w:ascii="方正黑体_GBK" w:eastAsia="方正黑体_GBK"/>
          <w:color w:val="000000"/>
          <w:sz w:val="32"/>
          <w:szCs w:val="32"/>
        </w:rPr>
      </w:pPr>
      <w:r>
        <w:rPr>
          <w:rFonts w:hint="eastAsia" w:ascii="方正黑体_GBK" w:hAnsi="方正黑体_GBK" w:eastAsia="方正黑体_GBK"/>
          <w:color w:val="000000"/>
          <w:sz w:val="32"/>
          <w:szCs w:val="32"/>
        </w:rPr>
        <w:t>附件1</w:t>
      </w:r>
    </w:p>
    <w:p>
      <w:pPr>
        <w:spacing w:line="600" w:lineRule="exact"/>
        <w:ind w:right="-107" w:rightChars="-51"/>
        <w:jc w:val="left"/>
        <w:rPr>
          <w:rFonts w:ascii="方正仿宋_GBK" w:eastAsia="方正仿宋_GBK"/>
          <w:color w:val="000000"/>
          <w:sz w:val="32"/>
          <w:szCs w:val="32"/>
        </w:rPr>
      </w:pPr>
    </w:p>
    <w:p>
      <w:pPr>
        <w:spacing w:line="600" w:lineRule="exact"/>
        <w:ind w:right="-105" w:rightChars="-50"/>
        <w:jc w:val="center"/>
        <w:rPr>
          <w:rFonts w:hint="eastAsia" w:ascii="方正小标宋_GBK" w:hAnsi="方正黑体_GBK" w:eastAsia="方正小标宋_GBK"/>
          <w:color w:val="000000"/>
          <w:sz w:val="44"/>
          <w:szCs w:val="44"/>
        </w:rPr>
      </w:pPr>
      <w:r>
        <w:rPr>
          <w:rFonts w:hint="eastAsia" w:ascii="方正小标宋_GBK" w:hAnsi="方正黑体_GBK" w:eastAsia="方正小标宋_GBK"/>
          <w:color w:val="000000"/>
          <w:sz w:val="44"/>
          <w:szCs w:val="44"/>
        </w:rPr>
        <w:t>有关安全生产的强制性标准依据</w:t>
      </w:r>
    </w:p>
    <w:p>
      <w:pPr>
        <w:spacing w:line="600" w:lineRule="exact"/>
        <w:ind w:right="-105" w:rightChars="-50"/>
        <w:jc w:val="center"/>
        <w:rPr>
          <w:rFonts w:hint="eastAsia" w:ascii="方正小标宋_GBK" w:hAnsi="方正黑体_GBK" w:eastAsia="方正小标宋_GBK"/>
          <w:color w:val="000000"/>
          <w:sz w:val="44"/>
          <w:szCs w:val="44"/>
        </w:rPr>
      </w:pPr>
    </w:p>
    <w:tbl>
      <w:tblPr>
        <w:tblStyle w:val="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90"/>
        <w:gridCol w:w="3685"/>
        <w:gridCol w:w="3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jc w:val="center"/>
        </w:trPr>
        <w:tc>
          <w:tcPr>
            <w:tcW w:w="818" w:type="dxa"/>
            <w:noWrap w:val="0"/>
            <w:vAlign w:val="center"/>
          </w:tcPr>
          <w:p>
            <w:pPr>
              <w:spacing w:line="240" w:lineRule="exact"/>
              <w:ind w:right="-107" w:rightChars="-51"/>
              <w:jc w:val="center"/>
              <w:rPr>
                <w:rFonts w:hint="eastAsia" w:ascii="方正黑体_GBK" w:eastAsia="方正黑体_GBK"/>
                <w:sz w:val="24"/>
                <w:szCs w:val="24"/>
              </w:rPr>
            </w:pPr>
            <w:r>
              <w:rPr>
                <w:rFonts w:hint="eastAsia" w:ascii="方正黑体_GBK" w:hAnsi="方正黑体_GBK" w:eastAsia="方正黑体_GBK"/>
                <w:sz w:val="24"/>
                <w:szCs w:val="24"/>
              </w:rPr>
              <w:t>序号</w:t>
            </w:r>
          </w:p>
        </w:tc>
        <w:tc>
          <w:tcPr>
            <w:tcW w:w="4775" w:type="dxa"/>
            <w:gridSpan w:val="2"/>
            <w:noWrap w:val="0"/>
            <w:vAlign w:val="center"/>
          </w:tcPr>
          <w:p>
            <w:pPr>
              <w:spacing w:line="240" w:lineRule="exact"/>
              <w:ind w:right="-107" w:rightChars="-51"/>
              <w:jc w:val="center"/>
              <w:rPr>
                <w:rFonts w:hint="eastAsia" w:ascii="方正黑体_GBK" w:eastAsia="方正黑体_GBK"/>
                <w:sz w:val="24"/>
                <w:szCs w:val="24"/>
              </w:rPr>
            </w:pPr>
            <w:r>
              <w:rPr>
                <w:rFonts w:hint="eastAsia" w:ascii="方正黑体_GBK" w:hAnsi="方正黑体_GBK" w:eastAsia="方正黑体_GBK"/>
                <w:sz w:val="24"/>
                <w:szCs w:val="24"/>
              </w:rPr>
              <w:t>违法行为类别</w:t>
            </w:r>
          </w:p>
        </w:tc>
        <w:tc>
          <w:tcPr>
            <w:tcW w:w="3693" w:type="dxa"/>
            <w:noWrap w:val="0"/>
            <w:vAlign w:val="center"/>
          </w:tcPr>
          <w:p>
            <w:pPr>
              <w:spacing w:line="240" w:lineRule="exact"/>
              <w:ind w:right="-107" w:rightChars="-51"/>
              <w:jc w:val="center"/>
              <w:rPr>
                <w:rFonts w:hint="eastAsia" w:ascii="方正黑体_GBK" w:eastAsia="方正黑体_GBK"/>
                <w:sz w:val="24"/>
                <w:szCs w:val="24"/>
              </w:rPr>
            </w:pPr>
            <w:r>
              <w:rPr>
                <w:rFonts w:hint="eastAsia" w:ascii="方正黑体_GBK" w:hAnsi="方正黑体_GBK" w:eastAsia="方正黑体_GBK"/>
                <w:sz w:val="24"/>
                <w:szCs w:val="24"/>
              </w:rPr>
              <w:t>标准规范依据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1</w:t>
            </w:r>
          </w:p>
        </w:tc>
        <w:tc>
          <w:tcPr>
            <w:tcW w:w="1090" w:type="dxa"/>
            <w:vMerge w:val="restart"/>
            <w:noWrap w:val="0"/>
            <w:vAlign w:val="center"/>
          </w:tcPr>
          <w:p>
            <w:pPr>
              <w:spacing w:line="240" w:lineRule="exact"/>
              <w:ind w:right="-107" w:rightChars="-51"/>
              <w:rPr>
                <w:rFonts w:ascii="黑体" w:hAnsi="黑体" w:eastAsia="黑体" w:cs="楷体"/>
                <w:b/>
                <w:kern w:val="0"/>
                <w:sz w:val="28"/>
                <w:szCs w:val="28"/>
                <w:shd w:val="clear" w:color="auto" w:fill="FFFFFF"/>
              </w:rPr>
            </w:pPr>
            <w:r>
              <w:rPr>
                <w:rFonts w:hint="eastAsia" w:ascii="方正仿宋_GBK" w:hAnsi="方正楷体_GBK" w:eastAsia="方正仿宋_GBK"/>
                <w:sz w:val="24"/>
                <w:szCs w:val="24"/>
              </w:rPr>
              <w:t>（一）未正确使用安全防护用品的</w:t>
            </w:r>
          </w:p>
        </w:tc>
        <w:tc>
          <w:tcPr>
            <w:tcW w:w="3685" w:type="dxa"/>
            <w:noWrap w:val="0"/>
            <w:vAlign w:val="center"/>
          </w:tcPr>
          <w:p>
            <w:pPr>
              <w:spacing w:line="240" w:lineRule="exact"/>
              <w:ind w:right="-107" w:rightChars="-51"/>
              <w:rPr>
                <w:rFonts w:ascii="黑体" w:hAnsi="黑体" w:eastAsia="黑体" w:cs="楷体"/>
                <w:b/>
                <w:kern w:val="0"/>
                <w:sz w:val="28"/>
                <w:szCs w:val="28"/>
                <w:shd w:val="clear" w:color="auto" w:fill="FFFFFF"/>
              </w:rPr>
            </w:pPr>
            <w:r>
              <w:rPr>
                <w:rFonts w:hint="eastAsia" w:eastAsia="方正仿宋_GBK"/>
                <w:sz w:val="24"/>
                <w:szCs w:val="24"/>
              </w:rPr>
              <w:t>进入施工现场人员未佩戴安全帽的</w:t>
            </w:r>
          </w:p>
        </w:tc>
        <w:tc>
          <w:tcPr>
            <w:tcW w:w="3693" w:type="dxa"/>
            <w:noWrap w:val="0"/>
            <w:vAlign w:val="center"/>
          </w:tcPr>
          <w:p>
            <w:pPr>
              <w:spacing w:line="240" w:lineRule="exact"/>
              <w:rPr>
                <w:rFonts w:ascii="黑体" w:hAnsi="黑体" w:eastAsia="黑体" w:cs="楷体"/>
                <w:b/>
                <w:kern w:val="0"/>
                <w:sz w:val="28"/>
                <w:szCs w:val="28"/>
                <w:shd w:val="clear" w:color="auto" w:fill="FFFFFF"/>
              </w:rPr>
            </w:pPr>
            <w:r>
              <w:rPr>
                <w:rFonts w:hint="eastAsia" w:eastAsia="方正仿宋_GBK"/>
                <w:sz w:val="24"/>
                <w:szCs w:val="24"/>
              </w:rPr>
              <w:t>《建筑施工作业劳动防护用品配备及使用标准》（</w:t>
            </w:r>
            <w:r>
              <w:rPr>
                <w:rFonts w:eastAsia="方正仿宋_GBK"/>
                <w:sz w:val="24"/>
                <w:szCs w:val="24"/>
              </w:rPr>
              <w:t>JGJ184-2009</w:t>
            </w:r>
            <w:r>
              <w:rPr>
                <w:rFonts w:hint="eastAsia" w:eastAsia="方正仿宋_GBK"/>
                <w:sz w:val="24"/>
                <w:szCs w:val="24"/>
              </w:rPr>
              <w:t>）第</w:t>
            </w:r>
            <w:r>
              <w:rPr>
                <w:rFonts w:eastAsia="方正仿宋_GBK"/>
                <w:sz w:val="24"/>
                <w:szCs w:val="24"/>
              </w:rPr>
              <w:t>2.0.4</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2</w:t>
            </w:r>
          </w:p>
        </w:tc>
        <w:tc>
          <w:tcPr>
            <w:tcW w:w="1090" w:type="dxa"/>
            <w:vMerge w:val="continue"/>
            <w:noWrap w:val="0"/>
            <w:vAlign w:val="center"/>
          </w:tcPr>
          <w:p>
            <w:pPr>
              <w:spacing w:line="240" w:lineRule="exact"/>
              <w:ind w:right="-107" w:rightChars="-51"/>
              <w:rPr>
                <w:rFonts w:ascii="黑体" w:hAnsi="黑体" w:eastAsia="黑体" w:cs="楷体"/>
                <w:b/>
                <w:kern w:val="0"/>
                <w:sz w:val="28"/>
                <w:szCs w:val="28"/>
                <w:shd w:val="clear" w:color="auto" w:fill="FFFFFF"/>
              </w:rPr>
            </w:pPr>
          </w:p>
        </w:tc>
        <w:tc>
          <w:tcPr>
            <w:tcW w:w="3685" w:type="dxa"/>
            <w:noWrap w:val="0"/>
            <w:vAlign w:val="center"/>
          </w:tcPr>
          <w:p>
            <w:pPr>
              <w:spacing w:line="240" w:lineRule="exact"/>
              <w:ind w:right="-107" w:rightChars="-51"/>
              <w:rPr>
                <w:rFonts w:ascii="黑体" w:hAnsi="黑体" w:eastAsia="黑体" w:cs="楷体"/>
                <w:b/>
                <w:kern w:val="0"/>
                <w:sz w:val="28"/>
                <w:szCs w:val="28"/>
                <w:shd w:val="clear" w:color="auto" w:fill="FFFFFF"/>
              </w:rPr>
            </w:pPr>
            <w:r>
              <w:rPr>
                <w:rFonts w:hint="eastAsia" w:eastAsia="方正仿宋_GBK"/>
                <w:sz w:val="24"/>
                <w:szCs w:val="24"/>
              </w:rPr>
              <w:t>人员在</w:t>
            </w:r>
            <w:r>
              <w:rPr>
                <w:rFonts w:eastAsia="方正仿宋_GBK"/>
                <w:sz w:val="24"/>
                <w:szCs w:val="24"/>
              </w:rPr>
              <w:t>2米</w:t>
            </w:r>
            <w:r>
              <w:rPr>
                <w:rFonts w:hint="eastAsia" w:eastAsia="方正仿宋_GBK"/>
                <w:sz w:val="24"/>
                <w:szCs w:val="24"/>
              </w:rPr>
              <w:t>及以上的无可靠安全防护设施的高处、悬崖和陡坡作业时，未系挂安全带的</w:t>
            </w:r>
          </w:p>
        </w:tc>
        <w:tc>
          <w:tcPr>
            <w:tcW w:w="3693" w:type="dxa"/>
            <w:noWrap w:val="0"/>
            <w:vAlign w:val="center"/>
          </w:tcPr>
          <w:p>
            <w:pPr>
              <w:spacing w:line="240" w:lineRule="exact"/>
              <w:rPr>
                <w:rFonts w:ascii="黑体" w:hAnsi="黑体" w:eastAsia="黑体" w:cs="楷体"/>
                <w:b/>
                <w:kern w:val="0"/>
                <w:sz w:val="28"/>
                <w:szCs w:val="28"/>
                <w:shd w:val="clear" w:color="auto" w:fill="FFFFFF"/>
              </w:rPr>
            </w:pPr>
            <w:r>
              <w:rPr>
                <w:rFonts w:hint="eastAsia" w:eastAsia="方正仿宋_GBK"/>
                <w:sz w:val="24"/>
                <w:szCs w:val="24"/>
              </w:rPr>
              <w:t>《建筑施工作业劳动防护用品配备及使用标准》（</w:t>
            </w:r>
            <w:r>
              <w:rPr>
                <w:rFonts w:eastAsia="方正仿宋_GBK"/>
                <w:sz w:val="24"/>
                <w:szCs w:val="24"/>
              </w:rPr>
              <w:t>JGJ184-2009</w:t>
            </w:r>
            <w:r>
              <w:rPr>
                <w:rFonts w:hint="eastAsia" w:eastAsia="方正仿宋_GBK"/>
                <w:sz w:val="24"/>
                <w:szCs w:val="24"/>
              </w:rPr>
              <w:t>）第</w:t>
            </w:r>
            <w:r>
              <w:rPr>
                <w:rFonts w:eastAsia="方正仿宋_GBK"/>
                <w:sz w:val="24"/>
                <w:szCs w:val="24"/>
              </w:rPr>
              <w:t>2.0.4</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3</w:t>
            </w:r>
          </w:p>
        </w:tc>
        <w:tc>
          <w:tcPr>
            <w:tcW w:w="1090" w:type="dxa"/>
            <w:vMerge w:val="continue"/>
            <w:noWrap w:val="0"/>
            <w:vAlign w:val="center"/>
          </w:tcPr>
          <w:p>
            <w:pPr>
              <w:spacing w:line="240" w:lineRule="exact"/>
              <w:ind w:right="-107" w:rightChars="-51"/>
              <w:rPr>
                <w:rFonts w:eastAsia="方正仿宋_GBK"/>
                <w:sz w:val="24"/>
                <w:szCs w:val="24"/>
              </w:rPr>
            </w:pPr>
          </w:p>
        </w:tc>
        <w:tc>
          <w:tcPr>
            <w:tcW w:w="3685" w:type="dxa"/>
            <w:noWrap w:val="0"/>
            <w:vAlign w:val="center"/>
          </w:tcPr>
          <w:p>
            <w:pPr>
              <w:widowControl/>
              <w:shd w:val="clear" w:color="auto" w:fill="FFFFFF"/>
              <w:spacing w:line="240" w:lineRule="exact"/>
              <w:rPr>
                <w:rFonts w:eastAsia="方正仿宋_GBK"/>
                <w:sz w:val="24"/>
                <w:szCs w:val="24"/>
              </w:rPr>
            </w:pPr>
            <w:r>
              <w:rPr>
                <w:rFonts w:hint="eastAsia" w:eastAsia="方正仿宋_GBK"/>
                <w:sz w:val="24"/>
                <w:szCs w:val="24"/>
              </w:rPr>
              <w:t>水上作业人员未正确穿戴救生衣等个人安全防护用品的</w:t>
            </w:r>
          </w:p>
        </w:tc>
        <w:tc>
          <w:tcPr>
            <w:tcW w:w="3693" w:type="dxa"/>
            <w:noWrap w:val="0"/>
            <w:vAlign w:val="center"/>
          </w:tcPr>
          <w:p>
            <w:pPr>
              <w:spacing w:line="240" w:lineRule="exact"/>
              <w:rPr>
                <w:rFonts w:eastAsia="方正仿宋_GBK"/>
                <w:sz w:val="24"/>
                <w:szCs w:val="24"/>
              </w:rPr>
            </w:pPr>
            <w:r>
              <w:rPr>
                <w:rFonts w:hint="eastAsia" w:eastAsia="方正仿宋_GBK"/>
                <w:sz w:val="24"/>
                <w:szCs w:val="24"/>
              </w:rPr>
              <w:t>《公路工程施工安全技术规范》（</w:t>
            </w:r>
            <w:r>
              <w:rPr>
                <w:rFonts w:eastAsia="方正仿宋_GBK"/>
                <w:sz w:val="24"/>
                <w:szCs w:val="24"/>
              </w:rPr>
              <w:t>JTG F90-2015</w:t>
            </w:r>
            <w:r>
              <w:rPr>
                <w:rFonts w:hint="eastAsia" w:eastAsia="方正仿宋_GBK"/>
                <w:sz w:val="24"/>
                <w:szCs w:val="24"/>
              </w:rPr>
              <w:t>）第</w:t>
            </w:r>
            <w:r>
              <w:rPr>
                <w:rFonts w:eastAsia="方正仿宋_GBK"/>
                <w:sz w:val="24"/>
                <w:szCs w:val="24"/>
              </w:rPr>
              <w:t>5.8.3</w:t>
            </w:r>
            <w:r>
              <w:rPr>
                <w:rFonts w:hint="eastAsia" w:eastAsia="方正仿宋_GBK"/>
                <w:sz w:val="24"/>
                <w:szCs w:val="24"/>
              </w:rPr>
              <w:t>条</w:t>
            </w:r>
          </w:p>
          <w:p>
            <w:pPr>
              <w:spacing w:line="240" w:lineRule="exact"/>
              <w:rPr>
                <w:rFonts w:eastAsia="方正仿宋_GBK"/>
                <w:sz w:val="24"/>
                <w:szCs w:val="24"/>
              </w:rPr>
            </w:pPr>
            <w:r>
              <w:rPr>
                <w:rFonts w:hint="eastAsia" w:eastAsia="方正仿宋_GBK"/>
                <w:sz w:val="24"/>
                <w:szCs w:val="24"/>
              </w:rPr>
              <w:t>《水运工程施工安全防护技术规范》（</w:t>
            </w:r>
            <w:r>
              <w:rPr>
                <w:rFonts w:eastAsia="方正仿宋_GBK"/>
                <w:sz w:val="24"/>
                <w:szCs w:val="24"/>
              </w:rPr>
              <w:t>JTS205-1-2008</w:t>
            </w:r>
            <w:r>
              <w:rPr>
                <w:rFonts w:hint="eastAsia" w:eastAsia="方正仿宋_GBK"/>
                <w:sz w:val="24"/>
                <w:szCs w:val="24"/>
              </w:rPr>
              <w:t>）第</w:t>
            </w:r>
            <w:r>
              <w:rPr>
                <w:rFonts w:eastAsia="方正仿宋_GBK"/>
                <w:sz w:val="24"/>
                <w:szCs w:val="24"/>
              </w:rPr>
              <w:t>5.1.11</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4</w:t>
            </w:r>
          </w:p>
        </w:tc>
        <w:tc>
          <w:tcPr>
            <w:tcW w:w="1090" w:type="dxa"/>
            <w:vMerge w:val="continue"/>
            <w:noWrap w:val="0"/>
            <w:vAlign w:val="center"/>
          </w:tcPr>
          <w:p>
            <w:pPr>
              <w:spacing w:line="240" w:lineRule="exact"/>
              <w:ind w:right="-107" w:rightChars="-51"/>
              <w:rPr>
                <w:rFonts w:eastAsia="方正仿宋_GBK"/>
                <w:sz w:val="24"/>
                <w:szCs w:val="24"/>
              </w:rPr>
            </w:pP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人工开挖支挡抗滑桩施工，孔内作业人员未戴安全帽，或未系安全带，或未穿防滑鞋，或安全绳未系在孔口的</w:t>
            </w:r>
          </w:p>
        </w:tc>
        <w:tc>
          <w:tcPr>
            <w:tcW w:w="3693" w:type="dxa"/>
            <w:noWrap w:val="0"/>
            <w:vAlign w:val="center"/>
          </w:tcPr>
          <w:p>
            <w:pPr>
              <w:spacing w:line="240" w:lineRule="exact"/>
              <w:rPr>
                <w:rFonts w:eastAsia="方正仿宋_GBK"/>
                <w:sz w:val="24"/>
                <w:szCs w:val="24"/>
              </w:rPr>
            </w:pPr>
            <w:r>
              <w:rPr>
                <w:rFonts w:hint="eastAsia" w:eastAsia="方正仿宋_GBK"/>
                <w:sz w:val="24"/>
                <w:szCs w:val="24"/>
              </w:rPr>
              <w:t>《公路工程施工安全技术规范》（</w:t>
            </w:r>
            <w:r>
              <w:rPr>
                <w:rFonts w:eastAsia="方正仿宋_GBK"/>
                <w:sz w:val="24"/>
                <w:szCs w:val="24"/>
              </w:rPr>
              <w:t>JTG F90-2015</w:t>
            </w:r>
            <w:r>
              <w:rPr>
                <w:rFonts w:hint="eastAsia" w:eastAsia="方正仿宋_GBK"/>
                <w:sz w:val="24"/>
                <w:szCs w:val="24"/>
              </w:rPr>
              <w:t>）第</w:t>
            </w:r>
            <w:r>
              <w:rPr>
                <w:rFonts w:eastAsia="方正仿宋_GBK"/>
                <w:sz w:val="24"/>
                <w:szCs w:val="24"/>
              </w:rPr>
              <w:t>6.5.3</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5</w:t>
            </w:r>
          </w:p>
        </w:tc>
        <w:tc>
          <w:tcPr>
            <w:tcW w:w="1090" w:type="dxa"/>
            <w:vMerge w:val="continue"/>
            <w:noWrap w:val="0"/>
            <w:vAlign w:val="center"/>
          </w:tcPr>
          <w:p>
            <w:pPr>
              <w:widowControl/>
              <w:shd w:val="clear" w:color="auto" w:fill="FFFFFF"/>
              <w:spacing w:line="240" w:lineRule="exact"/>
              <w:rPr>
                <w:rFonts w:eastAsia="方正仿宋_GBK"/>
                <w:sz w:val="24"/>
                <w:szCs w:val="24"/>
              </w:rPr>
            </w:pPr>
          </w:p>
        </w:tc>
        <w:tc>
          <w:tcPr>
            <w:tcW w:w="3685" w:type="dxa"/>
            <w:noWrap w:val="0"/>
            <w:vAlign w:val="center"/>
          </w:tcPr>
          <w:p>
            <w:pPr>
              <w:widowControl/>
              <w:shd w:val="clear" w:color="auto" w:fill="FFFFFF"/>
              <w:spacing w:line="240" w:lineRule="exact"/>
              <w:rPr>
                <w:rFonts w:eastAsia="方正仿宋_GBK"/>
                <w:sz w:val="24"/>
                <w:szCs w:val="24"/>
              </w:rPr>
            </w:pPr>
            <w:r>
              <w:rPr>
                <w:rFonts w:hint="eastAsia" w:eastAsia="方正仿宋_GBK"/>
                <w:sz w:val="24"/>
                <w:szCs w:val="24"/>
              </w:rPr>
              <w:t>桥涵工程预应力混凝土工程采用后张法施工的，管道压浆作业人员未佩戴护目镜的</w:t>
            </w:r>
          </w:p>
        </w:tc>
        <w:tc>
          <w:tcPr>
            <w:tcW w:w="3693" w:type="dxa"/>
            <w:noWrap w:val="0"/>
            <w:vAlign w:val="center"/>
          </w:tcPr>
          <w:p>
            <w:pPr>
              <w:spacing w:line="240" w:lineRule="exact"/>
              <w:rPr>
                <w:rFonts w:eastAsia="方正仿宋_GBK"/>
                <w:sz w:val="24"/>
                <w:szCs w:val="24"/>
              </w:rPr>
            </w:pPr>
            <w:r>
              <w:rPr>
                <w:rFonts w:hint="eastAsia" w:eastAsia="方正仿宋_GBK"/>
                <w:sz w:val="24"/>
                <w:szCs w:val="24"/>
              </w:rPr>
              <w:t>《公路工程施工安全技术规范》（</w:t>
            </w:r>
            <w:r>
              <w:rPr>
                <w:rFonts w:eastAsia="方正仿宋_GBK"/>
                <w:sz w:val="24"/>
                <w:szCs w:val="24"/>
              </w:rPr>
              <w:t>JTG F90-2015</w:t>
            </w:r>
            <w:r>
              <w:rPr>
                <w:rFonts w:hint="eastAsia" w:eastAsia="方正仿宋_GBK"/>
                <w:sz w:val="24"/>
                <w:szCs w:val="24"/>
              </w:rPr>
              <w:t>）第</w:t>
            </w:r>
            <w:r>
              <w:rPr>
                <w:rFonts w:eastAsia="方正仿宋_GBK"/>
                <w:sz w:val="24"/>
                <w:szCs w:val="24"/>
              </w:rPr>
              <w:t>8.2.5</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6</w:t>
            </w:r>
          </w:p>
        </w:tc>
        <w:tc>
          <w:tcPr>
            <w:tcW w:w="1090" w:type="dxa"/>
            <w:vMerge w:val="continue"/>
            <w:noWrap w:val="0"/>
            <w:vAlign w:val="center"/>
          </w:tcPr>
          <w:p>
            <w:pPr>
              <w:widowControl/>
              <w:shd w:val="clear" w:color="auto" w:fill="FFFFFF"/>
              <w:spacing w:line="240" w:lineRule="exact"/>
              <w:rPr>
                <w:rFonts w:eastAsia="方正仿宋_GBK"/>
                <w:sz w:val="24"/>
                <w:szCs w:val="24"/>
              </w:rPr>
            </w:pP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公路工程施工，高边坡、陡崖、沿溪线的现浇混凝土护栏施工，作业人员未采取防坠落的措施的</w:t>
            </w:r>
          </w:p>
        </w:tc>
        <w:tc>
          <w:tcPr>
            <w:tcW w:w="3693" w:type="dxa"/>
            <w:noWrap w:val="0"/>
            <w:vAlign w:val="center"/>
          </w:tcPr>
          <w:p>
            <w:pPr>
              <w:spacing w:line="240" w:lineRule="exact"/>
              <w:rPr>
                <w:rFonts w:eastAsia="方正仿宋_GBK"/>
                <w:sz w:val="24"/>
                <w:szCs w:val="24"/>
              </w:rPr>
            </w:pPr>
            <w:r>
              <w:rPr>
                <w:rFonts w:hint="eastAsia" w:eastAsia="方正仿宋_GBK"/>
                <w:sz w:val="24"/>
                <w:szCs w:val="24"/>
              </w:rPr>
              <w:t>《公路工程施工安全技术规范》（</w:t>
            </w:r>
            <w:r>
              <w:rPr>
                <w:rFonts w:eastAsia="方正仿宋_GBK"/>
                <w:sz w:val="24"/>
                <w:szCs w:val="24"/>
              </w:rPr>
              <w:t>JTG F90-2015</w:t>
            </w:r>
            <w:r>
              <w:rPr>
                <w:rFonts w:hint="eastAsia" w:eastAsia="方正仿宋_GBK"/>
                <w:sz w:val="24"/>
                <w:szCs w:val="24"/>
              </w:rPr>
              <w:t>）第</w:t>
            </w:r>
            <w:r>
              <w:rPr>
                <w:rFonts w:eastAsia="方正仿宋_GBK"/>
                <w:sz w:val="24"/>
                <w:szCs w:val="24"/>
              </w:rPr>
              <w:t>10.2.6</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7</w:t>
            </w:r>
          </w:p>
        </w:tc>
        <w:tc>
          <w:tcPr>
            <w:tcW w:w="1090" w:type="dxa"/>
            <w:vMerge w:val="continue"/>
            <w:noWrap w:val="0"/>
            <w:vAlign w:val="center"/>
          </w:tcPr>
          <w:p>
            <w:pPr>
              <w:spacing w:line="240" w:lineRule="exact"/>
              <w:ind w:right="-107" w:rightChars="-51"/>
              <w:rPr>
                <w:rFonts w:eastAsia="方正仿宋_GBK"/>
                <w:sz w:val="24"/>
                <w:szCs w:val="24"/>
              </w:rPr>
            </w:pP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挖孔桩孔内作业人员未戴安全帽，或未系安全带，或未穿防水绝缘胶鞋，或安全带的保险绳未固定在孔口上的</w:t>
            </w:r>
          </w:p>
        </w:tc>
        <w:tc>
          <w:tcPr>
            <w:tcW w:w="3693" w:type="dxa"/>
            <w:noWrap w:val="0"/>
            <w:vAlign w:val="center"/>
          </w:tcPr>
          <w:p>
            <w:pPr>
              <w:spacing w:line="240" w:lineRule="exact"/>
              <w:rPr>
                <w:rFonts w:eastAsia="方正仿宋_GBK"/>
                <w:sz w:val="24"/>
                <w:szCs w:val="24"/>
              </w:rPr>
            </w:pPr>
            <w:r>
              <w:rPr>
                <w:rFonts w:hint="eastAsia" w:eastAsia="方正仿宋_GBK"/>
                <w:sz w:val="24"/>
                <w:szCs w:val="24"/>
              </w:rPr>
              <w:t>《水运工程施工安全防护技术规范》（</w:t>
            </w:r>
            <w:r>
              <w:rPr>
                <w:rFonts w:eastAsia="方正仿宋_GBK"/>
                <w:sz w:val="24"/>
                <w:szCs w:val="24"/>
              </w:rPr>
              <w:t>JTS205-1-2008</w:t>
            </w:r>
            <w:r>
              <w:rPr>
                <w:rFonts w:hint="eastAsia" w:eastAsia="方正仿宋_GBK"/>
                <w:sz w:val="24"/>
                <w:szCs w:val="24"/>
              </w:rPr>
              <w:t>）第</w:t>
            </w:r>
            <w:r>
              <w:rPr>
                <w:rFonts w:eastAsia="方正仿宋_GBK"/>
                <w:sz w:val="24"/>
                <w:szCs w:val="24"/>
              </w:rPr>
              <w:t>7.5.8</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8</w:t>
            </w:r>
          </w:p>
        </w:tc>
        <w:tc>
          <w:tcPr>
            <w:tcW w:w="1090" w:type="dxa"/>
            <w:vMerge w:val="restart"/>
            <w:noWrap w:val="0"/>
            <w:vAlign w:val="center"/>
          </w:tcPr>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r>
              <w:rPr>
                <w:rFonts w:hint="eastAsia" w:ascii="方正仿宋_GBK" w:hAnsi="方正楷体_GBK" w:eastAsia="方正仿宋_GBK"/>
                <w:sz w:val="24"/>
                <w:szCs w:val="24"/>
              </w:rPr>
              <w:t>（二）未设置临边洞口防护设施的</w:t>
            </w: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hint="eastAsia" w:ascii="方正仿宋_GBK" w:hAnsi="方正楷体_GBK" w:eastAsia="方正仿宋_GBK"/>
                <w:sz w:val="24"/>
                <w:szCs w:val="24"/>
              </w:rPr>
            </w:pPr>
          </w:p>
          <w:p>
            <w:pPr>
              <w:spacing w:line="240" w:lineRule="exact"/>
              <w:ind w:right="-107" w:rightChars="-51"/>
              <w:rPr>
                <w:rFonts w:ascii="方正仿宋_GBK" w:eastAsia="方正仿宋_GBK"/>
                <w:sz w:val="24"/>
                <w:szCs w:val="24"/>
              </w:rPr>
            </w:pPr>
          </w:p>
        </w:tc>
        <w:tc>
          <w:tcPr>
            <w:tcW w:w="3685" w:type="dxa"/>
            <w:noWrap w:val="0"/>
            <w:vAlign w:val="center"/>
          </w:tcPr>
          <w:p>
            <w:pPr>
              <w:widowControl/>
              <w:shd w:val="clear" w:color="auto" w:fill="FFFFFF"/>
              <w:spacing w:line="240" w:lineRule="exact"/>
              <w:rPr>
                <w:rFonts w:eastAsia="方正仿宋_GBK"/>
                <w:sz w:val="24"/>
                <w:szCs w:val="24"/>
              </w:rPr>
            </w:pPr>
            <w:r>
              <w:rPr>
                <w:rFonts w:hint="eastAsia" w:eastAsia="方正仿宋_GBK"/>
                <w:sz w:val="24"/>
                <w:szCs w:val="24"/>
              </w:rPr>
              <w:t>需临时拆除或变动防护措施时，未采取能替代原防护措施的可靠措施的，或作业后未立即恢复的</w:t>
            </w:r>
          </w:p>
        </w:tc>
        <w:tc>
          <w:tcPr>
            <w:tcW w:w="3693" w:type="dxa"/>
            <w:noWrap w:val="0"/>
            <w:vAlign w:val="center"/>
          </w:tcPr>
          <w:p>
            <w:pPr>
              <w:widowControl/>
              <w:shd w:val="clear" w:color="auto" w:fill="FFFFFF"/>
              <w:spacing w:line="240" w:lineRule="exact"/>
              <w:rPr>
                <w:rFonts w:eastAsia="方正仿宋_GBK"/>
                <w:sz w:val="24"/>
                <w:szCs w:val="24"/>
              </w:rPr>
            </w:pPr>
            <w:r>
              <w:rPr>
                <w:rFonts w:hint="eastAsia" w:eastAsia="方正仿宋_GBK"/>
                <w:sz w:val="24"/>
                <w:szCs w:val="24"/>
              </w:rPr>
              <w:t>《建筑施工高处作业安全技术规范》（</w:t>
            </w:r>
            <w:r>
              <w:rPr>
                <w:rFonts w:eastAsia="方正仿宋_GBK"/>
                <w:sz w:val="24"/>
                <w:szCs w:val="24"/>
              </w:rPr>
              <w:t>JGJ80-2016</w:t>
            </w:r>
            <w:r>
              <w:rPr>
                <w:rFonts w:hint="eastAsia" w:eastAsia="方正仿宋_GBK"/>
                <w:sz w:val="24"/>
                <w:szCs w:val="24"/>
              </w:rPr>
              <w:t>）第</w:t>
            </w:r>
            <w:r>
              <w:rPr>
                <w:rFonts w:eastAsia="方正仿宋_GBK"/>
                <w:sz w:val="24"/>
                <w:szCs w:val="24"/>
              </w:rPr>
              <w:t>3.0.9</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9</w:t>
            </w:r>
          </w:p>
        </w:tc>
        <w:tc>
          <w:tcPr>
            <w:tcW w:w="1090" w:type="dxa"/>
            <w:vMerge w:val="continue"/>
            <w:noWrap w:val="0"/>
            <w:vAlign w:val="center"/>
          </w:tcPr>
          <w:p>
            <w:pPr>
              <w:spacing w:line="240" w:lineRule="exact"/>
              <w:ind w:right="-107" w:rightChars="-51"/>
              <w:rPr>
                <w:rFonts w:ascii="方正仿宋_GBK" w:eastAsia="方正仿宋_GBK"/>
                <w:sz w:val="24"/>
                <w:szCs w:val="24"/>
              </w:rPr>
            </w:pPr>
          </w:p>
        </w:tc>
        <w:tc>
          <w:tcPr>
            <w:tcW w:w="3685" w:type="dxa"/>
            <w:noWrap w:val="0"/>
            <w:vAlign w:val="center"/>
          </w:tcPr>
          <w:p>
            <w:pPr>
              <w:widowControl/>
              <w:shd w:val="clear" w:color="auto" w:fill="FFFFFF"/>
              <w:spacing w:line="240" w:lineRule="exact"/>
              <w:rPr>
                <w:rFonts w:eastAsia="方正仿宋_GBK"/>
                <w:sz w:val="24"/>
                <w:szCs w:val="24"/>
              </w:rPr>
            </w:pPr>
            <w:r>
              <w:rPr>
                <w:rFonts w:hint="eastAsia" w:eastAsia="方正仿宋_GBK"/>
                <w:sz w:val="24"/>
                <w:szCs w:val="24"/>
              </w:rPr>
              <w:t>坠落高度基准面</w:t>
            </w:r>
            <w:r>
              <w:rPr>
                <w:rFonts w:eastAsia="方正仿宋_GBK"/>
                <w:sz w:val="24"/>
                <w:szCs w:val="24"/>
              </w:rPr>
              <w:t>2米</w:t>
            </w:r>
            <w:r>
              <w:rPr>
                <w:rFonts w:hint="eastAsia" w:eastAsia="方正仿宋_GBK"/>
                <w:sz w:val="24"/>
                <w:szCs w:val="24"/>
              </w:rPr>
              <w:t>及以上进行临边作业时，未在临空一侧设置防护栏杆的；或未采用密目式安全立网或工具式栏板封闭的；或者施工升降机与建筑物间设置的通道平台两侧边，未设置防护栏杆、挡脚板或未采用密目式安全立网或工具式栏板封闭的</w:t>
            </w:r>
          </w:p>
        </w:tc>
        <w:tc>
          <w:tcPr>
            <w:tcW w:w="3693" w:type="dxa"/>
            <w:noWrap w:val="0"/>
            <w:vAlign w:val="center"/>
          </w:tcPr>
          <w:p>
            <w:pPr>
              <w:widowControl/>
              <w:shd w:val="clear" w:color="auto" w:fill="FFFFFF"/>
              <w:spacing w:line="240" w:lineRule="exact"/>
              <w:rPr>
                <w:rFonts w:eastAsia="方正仿宋_GBK"/>
                <w:sz w:val="24"/>
                <w:szCs w:val="24"/>
              </w:rPr>
            </w:pPr>
            <w:r>
              <w:rPr>
                <w:rFonts w:hint="eastAsia" w:eastAsia="方正仿宋_GBK"/>
                <w:sz w:val="24"/>
                <w:szCs w:val="24"/>
              </w:rPr>
              <w:t>《建筑施工高处作业安全技术规范》（</w:t>
            </w:r>
            <w:r>
              <w:rPr>
                <w:rFonts w:eastAsia="方正仿宋_GBK"/>
                <w:sz w:val="24"/>
                <w:szCs w:val="24"/>
              </w:rPr>
              <w:t>JGJ80-2016</w:t>
            </w:r>
            <w:r>
              <w:rPr>
                <w:rFonts w:hint="eastAsia" w:eastAsia="方正仿宋_GBK"/>
                <w:sz w:val="24"/>
                <w:szCs w:val="24"/>
              </w:rPr>
              <w:t>）第</w:t>
            </w:r>
            <w:r>
              <w:rPr>
                <w:rFonts w:eastAsia="方正仿宋_GBK"/>
                <w:sz w:val="24"/>
                <w:szCs w:val="24"/>
              </w:rPr>
              <w:t>4.1.1</w:t>
            </w:r>
            <w:r>
              <w:rPr>
                <w:rFonts w:hint="eastAsia" w:eastAsia="方正仿宋_GBK"/>
                <w:sz w:val="24"/>
                <w:szCs w:val="24"/>
              </w:rPr>
              <w:t>条、第</w:t>
            </w:r>
            <w:r>
              <w:rPr>
                <w:rFonts w:eastAsia="方正仿宋_GBK"/>
                <w:sz w:val="24"/>
                <w:szCs w:val="24"/>
              </w:rPr>
              <w:t>4.1.4</w:t>
            </w:r>
            <w:r>
              <w:rPr>
                <w:rFonts w:hint="eastAsia" w:eastAsia="方正仿宋_GBK"/>
                <w:sz w:val="24"/>
                <w:szCs w:val="24"/>
              </w:rPr>
              <w:t>条</w:t>
            </w:r>
          </w:p>
          <w:p>
            <w:pPr>
              <w:widowControl/>
              <w:shd w:val="clear" w:color="auto" w:fill="FFFFFF"/>
              <w:spacing w:line="240" w:lineRule="exact"/>
              <w:rPr>
                <w:rFonts w:eastAsia="方正仿宋_GBK"/>
                <w:sz w:val="24"/>
                <w:szCs w:val="24"/>
              </w:rPr>
            </w:pPr>
            <w:r>
              <w:rPr>
                <w:rFonts w:hint="eastAsia" w:eastAsia="方正仿宋_GBK"/>
                <w:sz w:val="24"/>
                <w:szCs w:val="24"/>
              </w:rPr>
              <w:t>防护栏杆符合《公路工程施工安全技术规范》（</w:t>
            </w:r>
            <w:r>
              <w:rPr>
                <w:rFonts w:eastAsia="方正仿宋_GBK"/>
                <w:sz w:val="24"/>
                <w:szCs w:val="24"/>
              </w:rPr>
              <w:t>JTG F90-2015</w:t>
            </w:r>
            <w:r>
              <w:rPr>
                <w:rFonts w:hint="eastAsia" w:eastAsia="方正仿宋_GBK"/>
                <w:sz w:val="24"/>
                <w:szCs w:val="24"/>
              </w:rPr>
              <w:t>）第</w:t>
            </w:r>
            <w:r>
              <w:rPr>
                <w:rFonts w:eastAsia="方正仿宋_GBK"/>
                <w:sz w:val="24"/>
                <w:szCs w:val="24"/>
              </w:rPr>
              <w:t>5.7.5</w:t>
            </w:r>
            <w:r>
              <w:rPr>
                <w:rFonts w:hint="eastAsia" w:eastAsia="方正仿宋_GBK"/>
                <w:sz w:val="24"/>
                <w:szCs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10</w:t>
            </w:r>
          </w:p>
        </w:tc>
        <w:tc>
          <w:tcPr>
            <w:tcW w:w="1090" w:type="dxa"/>
            <w:vMerge w:val="continue"/>
            <w:noWrap w:val="0"/>
            <w:vAlign w:val="center"/>
          </w:tcPr>
          <w:p>
            <w:pPr>
              <w:spacing w:line="240" w:lineRule="exact"/>
              <w:ind w:right="-107" w:rightChars="-51"/>
              <w:rPr>
                <w:rFonts w:ascii="方正仿宋_GBK" w:eastAsia="方正仿宋_GBK"/>
                <w:sz w:val="24"/>
                <w:szCs w:val="24"/>
              </w:rPr>
            </w:pPr>
          </w:p>
        </w:tc>
        <w:tc>
          <w:tcPr>
            <w:tcW w:w="3685" w:type="dxa"/>
            <w:noWrap w:val="0"/>
            <w:vAlign w:val="center"/>
          </w:tcPr>
          <w:p>
            <w:pPr>
              <w:widowControl/>
              <w:shd w:val="clear" w:color="auto" w:fill="FFFFFF"/>
              <w:spacing w:line="240" w:lineRule="exact"/>
              <w:rPr>
                <w:rFonts w:eastAsia="方正仿宋_GBK"/>
                <w:sz w:val="24"/>
                <w:szCs w:val="24"/>
              </w:rPr>
            </w:pPr>
            <w:r>
              <w:rPr>
                <w:rFonts w:hint="eastAsia" w:eastAsia="方正仿宋_GBK"/>
                <w:sz w:val="24"/>
                <w:szCs w:val="24"/>
              </w:rPr>
              <w:t>洞口作业区域，未设置洞口防坠落措施的</w:t>
            </w:r>
          </w:p>
        </w:tc>
        <w:tc>
          <w:tcPr>
            <w:tcW w:w="3693" w:type="dxa"/>
            <w:noWrap w:val="0"/>
            <w:vAlign w:val="center"/>
          </w:tcPr>
          <w:p>
            <w:pPr>
              <w:widowControl/>
              <w:shd w:val="clear" w:color="auto" w:fill="FFFFFF"/>
              <w:spacing w:line="240" w:lineRule="exact"/>
              <w:rPr>
                <w:rFonts w:eastAsia="方正仿宋_GBK"/>
                <w:sz w:val="24"/>
                <w:szCs w:val="24"/>
              </w:rPr>
            </w:pPr>
            <w:r>
              <w:rPr>
                <w:rFonts w:hint="eastAsia" w:eastAsia="方正仿宋_GBK"/>
                <w:sz w:val="24"/>
                <w:szCs w:val="24"/>
              </w:rPr>
              <w:t>《建筑施工高处作业安全技术规范》（</w:t>
            </w:r>
            <w:r>
              <w:rPr>
                <w:rFonts w:eastAsia="方正仿宋_GBK"/>
                <w:sz w:val="24"/>
                <w:szCs w:val="24"/>
              </w:rPr>
              <w:t>JGJ80-2016</w:t>
            </w:r>
            <w:r>
              <w:rPr>
                <w:rFonts w:hint="eastAsia" w:eastAsia="方正仿宋_GBK"/>
                <w:sz w:val="24"/>
                <w:szCs w:val="24"/>
              </w:rPr>
              <w:t>）第</w:t>
            </w:r>
            <w:r>
              <w:rPr>
                <w:rFonts w:eastAsia="方正仿宋_GBK"/>
                <w:sz w:val="24"/>
                <w:szCs w:val="24"/>
              </w:rPr>
              <w:t>4.2.1</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11</w:t>
            </w:r>
          </w:p>
        </w:tc>
        <w:tc>
          <w:tcPr>
            <w:tcW w:w="1090" w:type="dxa"/>
            <w:vMerge w:val="continue"/>
            <w:noWrap w:val="0"/>
            <w:vAlign w:val="center"/>
          </w:tcPr>
          <w:p>
            <w:pPr>
              <w:spacing w:line="240" w:lineRule="exact"/>
              <w:ind w:right="-107" w:rightChars="-51"/>
              <w:rPr>
                <w:rFonts w:ascii="方正仿宋_GBK" w:eastAsia="方正仿宋_GBK"/>
                <w:sz w:val="24"/>
                <w:szCs w:val="24"/>
              </w:rPr>
            </w:pPr>
          </w:p>
        </w:tc>
        <w:tc>
          <w:tcPr>
            <w:tcW w:w="3685" w:type="dxa"/>
            <w:noWrap w:val="0"/>
            <w:vAlign w:val="center"/>
          </w:tcPr>
          <w:p>
            <w:pPr>
              <w:widowControl/>
              <w:shd w:val="clear" w:color="auto" w:fill="FFFFFF"/>
              <w:spacing w:line="240" w:lineRule="exact"/>
              <w:rPr>
                <w:rFonts w:eastAsia="方正仿宋_GBK"/>
                <w:sz w:val="24"/>
                <w:szCs w:val="24"/>
              </w:rPr>
            </w:pPr>
            <w:r>
              <w:rPr>
                <w:rFonts w:hint="eastAsia" w:eastAsia="方正仿宋_GBK"/>
                <w:sz w:val="24"/>
                <w:szCs w:val="24"/>
              </w:rPr>
              <w:t>基准面以上</w:t>
            </w:r>
            <w:r>
              <w:rPr>
                <w:rFonts w:eastAsia="方正仿宋_GBK"/>
                <w:sz w:val="24"/>
                <w:szCs w:val="24"/>
              </w:rPr>
              <w:t>2米</w:t>
            </w:r>
            <w:r>
              <w:rPr>
                <w:rFonts w:hint="eastAsia" w:eastAsia="方正仿宋_GBK"/>
                <w:sz w:val="24"/>
                <w:szCs w:val="24"/>
              </w:rPr>
              <w:t>安装模板未搭设脚手架或施工平台的；或作业高度超过</w:t>
            </w:r>
            <w:r>
              <w:rPr>
                <w:rFonts w:eastAsia="方正仿宋_GBK"/>
                <w:sz w:val="24"/>
                <w:szCs w:val="24"/>
              </w:rPr>
              <w:t>2米</w:t>
            </w:r>
            <w:r>
              <w:rPr>
                <w:rFonts w:hint="eastAsia" w:eastAsia="方正仿宋_GBK"/>
                <w:sz w:val="24"/>
                <w:szCs w:val="24"/>
              </w:rPr>
              <w:t>的钢筋骨架未搭设脚手架或施工平台的</w:t>
            </w:r>
          </w:p>
        </w:tc>
        <w:tc>
          <w:tcPr>
            <w:tcW w:w="3693" w:type="dxa"/>
            <w:noWrap w:val="0"/>
            <w:vAlign w:val="center"/>
          </w:tcPr>
          <w:p>
            <w:pPr>
              <w:widowControl/>
              <w:shd w:val="clear" w:color="auto" w:fill="FFFFFF"/>
              <w:spacing w:line="240" w:lineRule="exact"/>
              <w:rPr>
                <w:rFonts w:eastAsia="方正仿宋_GBK"/>
                <w:sz w:val="24"/>
                <w:szCs w:val="24"/>
              </w:rPr>
            </w:pPr>
            <w:r>
              <w:rPr>
                <w:rFonts w:hint="eastAsia" w:eastAsia="方正仿宋_GBK"/>
                <w:sz w:val="24"/>
                <w:szCs w:val="24"/>
              </w:rPr>
              <w:t>《公路工程施工安全技术规范》（</w:t>
            </w:r>
            <w:r>
              <w:rPr>
                <w:rFonts w:eastAsia="方正仿宋_GBK"/>
                <w:sz w:val="24"/>
                <w:szCs w:val="24"/>
              </w:rPr>
              <w:t>JTG F90-2015</w:t>
            </w:r>
            <w:r>
              <w:rPr>
                <w:rFonts w:hint="eastAsia" w:eastAsia="方正仿宋_GBK"/>
                <w:sz w:val="24"/>
                <w:szCs w:val="24"/>
              </w:rPr>
              <w:t>）第</w:t>
            </w:r>
            <w:r>
              <w:rPr>
                <w:rFonts w:eastAsia="方正仿宋_GBK"/>
                <w:sz w:val="24"/>
                <w:szCs w:val="24"/>
              </w:rPr>
              <w:t>5.2.13</w:t>
            </w:r>
            <w:r>
              <w:rPr>
                <w:rFonts w:hint="eastAsia" w:eastAsia="方正仿宋_GBK"/>
                <w:sz w:val="24"/>
                <w:szCs w:val="24"/>
              </w:rPr>
              <w:t>条、第</w:t>
            </w:r>
            <w:r>
              <w:rPr>
                <w:rFonts w:eastAsia="方正仿宋_GBK"/>
                <w:sz w:val="24"/>
                <w:szCs w:val="24"/>
              </w:rPr>
              <w:t>5.3.5</w:t>
            </w:r>
            <w:r>
              <w:rPr>
                <w:rFonts w:hint="eastAsia" w:eastAsia="方正仿宋_GBK"/>
                <w:sz w:val="24"/>
                <w:szCs w:val="24"/>
              </w:rPr>
              <w:t>条</w:t>
            </w:r>
          </w:p>
          <w:p>
            <w:pPr>
              <w:widowControl/>
              <w:shd w:val="clear" w:color="auto" w:fill="FFFFFF"/>
              <w:spacing w:line="240" w:lineRule="exact"/>
              <w:rPr>
                <w:rFonts w:eastAsia="方正仿宋_GBK"/>
                <w:sz w:val="24"/>
                <w:szCs w:val="24"/>
              </w:rPr>
            </w:pPr>
            <w:r>
              <w:rPr>
                <w:rFonts w:hint="eastAsia" w:eastAsia="方正仿宋_GBK"/>
                <w:sz w:val="24"/>
                <w:szCs w:val="24"/>
              </w:rPr>
              <w:t>《水运工程施工安全防护技术规范》（</w:t>
            </w:r>
            <w:r>
              <w:rPr>
                <w:rFonts w:eastAsia="方正仿宋_GBK"/>
                <w:sz w:val="24"/>
                <w:szCs w:val="24"/>
              </w:rPr>
              <w:t>JTS205-1-2008</w:t>
            </w:r>
            <w:r>
              <w:rPr>
                <w:rFonts w:hint="eastAsia" w:eastAsia="方正仿宋_GBK"/>
                <w:sz w:val="24"/>
                <w:szCs w:val="24"/>
              </w:rPr>
              <w:t>）第</w:t>
            </w:r>
            <w:r>
              <w:rPr>
                <w:rFonts w:eastAsia="方正仿宋_GBK"/>
                <w:sz w:val="24"/>
                <w:szCs w:val="24"/>
              </w:rPr>
              <w:t>5.3.4</w:t>
            </w:r>
            <w:r>
              <w:rPr>
                <w:rFonts w:hint="eastAsia" w:eastAsia="方正仿宋_GBK"/>
                <w:sz w:val="24"/>
                <w:szCs w:val="24"/>
              </w:rPr>
              <w:t>条、第</w:t>
            </w:r>
            <w:r>
              <w:rPr>
                <w:rFonts w:eastAsia="方正仿宋_GBK"/>
                <w:sz w:val="24"/>
                <w:szCs w:val="24"/>
              </w:rPr>
              <w:t>5.4.4</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12</w:t>
            </w:r>
          </w:p>
        </w:tc>
        <w:tc>
          <w:tcPr>
            <w:tcW w:w="1090" w:type="dxa"/>
            <w:vMerge w:val="continue"/>
            <w:noWrap w:val="0"/>
            <w:vAlign w:val="center"/>
          </w:tcPr>
          <w:p>
            <w:pPr>
              <w:spacing w:line="240" w:lineRule="exact"/>
              <w:ind w:right="-107" w:rightChars="-51"/>
              <w:rPr>
                <w:rFonts w:ascii="方正仿宋_GBK" w:eastAsia="方正仿宋_GBK"/>
                <w:sz w:val="24"/>
                <w:szCs w:val="24"/>
              </w:rPr>
            </w:pPr>
          </w:p>
        </w:tc>
        <w:tc>
          <w:tcPr>
            <w:tcW w:w="3685" w:type="dxa"/>
            <w:noWrap w:val="0"/>
            <w:vAlign w:val="center"/>
          </w:tcPr>
          <w:p>
            <w:pPr>
              <w:widowControl/>
              <w:shd w:val="clear" w:color="auto" w:fill="FFFFFF"/>
              <w:spacing w:line="240" w:lineRule="exact"/>
              <w:rPr>
                <w:rFonts w:eastAsia="方正仿宋_GBK"/>
                <w:sz w:val="24"/>
                <w:szCs w:val="24"/>
              </w:rPr>
            </w:pPr>
            <w:r>
              <w:rPr>
                <w:rFonts w:hint="eastAsia" w:eastAsia="方正仿宋_GBK"/>
                <w:sz w:val="24"/>
                <w:szCs w:val="24"/>
              </w:rPr>
              <w:t>公路工程施工（临时码头和栈桥），栈桥两侧和栈桥码头四周未设置高度不低于</w:t>
            </w:r>
            <w:r>
              <w:rPr>
                <w:rFonts w:eastAsia="方正仿宋_GBK"/>
                <w:sz w:val="24"/>
                <w:szCs w:val="24"/>
              </w:rPr>
              <w:t>1.2米</w:t>
            </w:r>
            <w:r>
              <w:rPr>
                <w:rFonts w:hint="eastAsia" w:eastAsia="方正仿宋_GBK"/>
                <w:sz w:val="24"/>
                <w:szCs w:val="24"/>
              </w:rPr>
              <w:t>的防护栏杆的</w:t>
            </w:r>
          </w:p>
        </w:tc>
        <w:tc>
          <w:tcPr>
            <w:tcW w:w="3693" w:type="dxa"/>
            <w:noWrap w:val="0"/>
            <w:vAlign w:val="center"/>
          </w:tcPr>
          <w:p>
            <w:pPr>
              <w:widowControl/>
              <w:shd w:val="clear" w:color="auto" w:fill="FFFFFF"/>
              <w:spacing w:line="240" w:lineRule="exact"/>
              <w:rPr>
                <w:rFonts w:eastAsia="方正仿宋_GBK"/>
                <w:sz w:val="24"/>
                <w:szCs w:val="24"/>
              </w:rPr>
            </w:pPr>
            <w:r>
              <w:rPr>
                <w:rFonts w:hint="eastAsia" w:eastAsia="方正仿宋_GBK"/>
                <w:sz w:val="24"/>
                <w:szCs w:val="24"/>
              </w:rPr>
              <w:t>《公路工程施工安全技术规范》（</w:t>
            </w:r>
            <w:r>
              <w:rPr>
                <w:rFonts w:eastAsia="方正仿宋_GBK"/>
                <w:sz w:val="24"/>
                <w:szCs w:val="24"/>
              </w:rPr>
              <w:t>JTG F90-2015</w:t>
            </w:r>
            <w:r>
              <w:rPr>
                <w:rFonts w:hint="eastAsia" w:eastAsia="方正仿宋_GBK"/>
                <w:sz w:val="24"/>
                <w:szCs w:val="24"/>
              </w:rPr>
              <w:t>）第</w:t>
            </w:r>
            <w:r>
              <w:rPr>
                <w:rFonts w:eastAsia="方正仿宋_GBK"/>
                <w:sz w:val="24"/>
                <w:szCs w:val="24"/>
              </w:rPr>
              <w:t>4.3.4</w:t>
            </w:r>
            <w:r>
              <w:rPr>
                <w:rFonts w:hint="eastAsia" w:eastAsia="方正仿宋_GBK"/>
                <w:sz w:val="24"/>
                <w:szCs w:val="24"/>
              </w:rPr>
              <w:t>条</w:t>
            </w:r>
          </w:p>
          <w:p>
            <w:pPr>
              <w:widowControl/>
              <w:shd w:val="clear" w:color="auto" w:fill="FFFFFF"/>
              <w:spacing w:line="240" w:lineRule="exact"/>
              <w:rPr>
                <w:rFonts w:eastAsia="方正仿宋_GBK"/>
                <w:sz w:val="24"/>
                <w:szCs w:val="24"/>
              </w:rPr>
            </w:pPr>
            <w:r>
              <w:rPr>
                <w:rFonts w:hint="eastAsia" w:eastAsia="方正仿宋_GBK"/>
                <w:sz w:val="24"/>
                <w:szCs w:val="24"/>
              </w:rPr>
              <w:t>防护栏杆符合《公路工程施工安全技术规范》（</w:t>
            </w:r>
            <w:r>
              <w:rPr>
                <w:rFonts w:eastAsia="方正仿宋_GBK"/>
                <w:sz w:val="24"/>
                <w:szCs w:val="24"/>
              </w:rPr>
              <w:t>JTG F90-2015</w:t>
            </w:r>
            <w:r>
              <w:rPr>
                <w:rFonts w:hint="eastAsia" w:eastAsia="方正仿宋_GBK"/>
                <w:sz w:val="24"/>
                <w:szCs w:val="24"/>
              </w:rPr>
              <w:t>）第</w:t>
            </w:r>
            <w:r>
              <w:rPr>
                <w:rFonts w:eastAsia="方正仿宋_GBK"/>
                <w:sz w:val="24"/>
                <w:szCs w:val="24"/>
              </w:rPr>
              <w:t>5.7.5</w:t>
            </w:r>
            <w:r>
              <w:rPr>
                <w:rFonts w:hint="eastAsia" w:eastAsia="方正仿宋_GBK"/>
                <w:sz w:val="24"/>
                <w:szCs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13</w:t>
            </w:r>
          </w:p>
        </w:tc>
        <w:tc>
          <w:tcPr>
            <w:tcW w:w="1090" w:type="dxa"/>
            <w:vMerge w:val="continue"/>
            <w:noWrap w:val="0"/>
            <w:vAlign w:val="center"/>
          </w:tcPr>
          <w:p>
            <w:pPr>
              <w:spacing w:line="240" w:lineRule="exact"/>
              <w:ind w:right="-107" w:rightChars="-51"/>
              <w:rPr>
                <w:rFonts w:ascii="方正仿宋_GBK" w:eastAsia="方正仿宋_GBK"/>
                <w:sz w:val="24"/>
                <w:szCs w:val="24"/>
              </w:rPr>
            </w:pPr>
          </w:p>
        </w:tc>
        <w:tc>
          <w:tcPr>
            <w:tcW w:w="3685" w:type="dxa"/>
            <w:noWrap w:val="0"/>
            <w:vAlign w:val="center"/>
          </w:tcPr>
          <w:p>
            <w:pPr>
              <w:widowControl/>
              <w:shd w:val="clear" w:color="auto" w:fill="FFFFFF"/>
              <w:spacing w:line="240" w:lineRule="exact"/>
              <w:rPr>
                <w:rFonts w:eastAsia="方正仿宋_GBK"/>
                <w:sz w:val="24"/>
                <w:szCs w:val="24"/>
              </w:rPr>
            </w:pPr>
            <w:r>
              <w:rPr>
                <w:rFonts w:hint="eastAsia" w:eastAsia="方正仿宋_GBK"/>
                <w:sz w:val="24"/>
                <w:szCs w:val="24"/>
              </w:rPr>
              <w:t>公路工程施工，斜拉桥已拼接的钢箱梁临边未设置防护栏杆的</w:t>
            </w:r>
          </w:p>
        </w:tc>
        <w:tc>
          <w:tcPr>
            <w:tcW w:w="3693" w:type="dxa"/>
            <w:noWrap w:val="0"/>
            <w:vAlign w:val="center"/>
          </w:tcPr>
          <w:p>
            <w:pPr>
              <w:widowControl/>
              <w:shd w:val="clear" w:color="auto" w:fill="FFFFFF"/>
              <w:spacing w:line="240" w:lineRule="exact"/>
              <w:rPr>
                <w:rFonts w:eastAsia="方正仿宋_GBK"/>
                <w:sz w:val="24"/>
                <w:szCs w:val="24"/>
              </w:rPr>
            </w:pPr>
            <w:r>
              <w:rPr>
                <w:rFonts w:hint="eastAsia" w:eastAsia="方正仿宋_GBK"/>
                <w:sz w:val="24"/>
                <w:szCs w:val="24"/>
              </w:rPr>
              <w:t>《公路工程施工安全技术规范》（</w:t>
            </w:r>
            <w:r>
              <w:rPr>
                <w:rFonts w:eastAsia="方正仿宋_GBK"/>
                <w:sz w:val="24"/>
                <w:szCs w:val="24"/>
              </w:rPr>
              <w:t>JTG F90-2015</w:t>
            </w:r>
            <w:r>
              <w:rPr>
                <w:rFonts w:hint="eastAsia" w:eastAsia="方正仿宋_GBK"/>
                <w:sz w:val="24"/>
                <w:szCs w:val="24"/>
              </w:rPr>
              <w:t>）第</w:t>
            </w:r>
            <w:r>
              <w:rPr>
                <w:rFonts w:eastAsia="方正仿宋_GBK"/>
                <w:sz w:val="24"/>
                <w:szCs w:val="24"/>
              </w:rPr>
              <w:t>8.13.3</w:t>
            </w:r>
            <w:r>
              <w:rPr>
                <w:rFonts w:hint="eastAsia" w:eastAsia="方正仿宋_GBK"/>
                <w:sz w:val="24"/>
                <w:szCs w:val="24"/>
              </w:rPr>
              <w:t>条</w:t>
            </w:r>
          </w:p>
          <w:p>
            <w:pPr>
              <w:widowControl/>
              <w:shd w:val="clear" w:color="auto" w:fill="FFFFFF"/>
              <w:spacing w:line="240" w:lineRule="exact"/>
              <w:rPr>
                <w:rFonts w:eastAsia="方正仿宋_GBK"/>
                <w:sz w:val="24"/>
                <w:szCs w:val="24"/>
              </w:rPr>
            </w:pPr>
            <w:r>
              <w:rPr>
                <w:rFonts w:hint="eastAsia" w:eastAsia="方正仿宋_GBK"/>
                <w:sz w:val="24"/>
                <w:szCs w:val="24"/>
              </w:rPr>
              <w:t>防护栏杆符合《公路工程施工安全技术规范》（</w:t>
            </w:r>
            <w:r>
              <w:rPr>
                <w:rFonts w:eastAsia="方正仿宋_GBK"/>
                <w:sz w:val="24"/>
                <w:szCs w:val="24"/>
              </w:rPr>
              <w:t>JTG F90-2015</w:t>
            </w:r>
            <w:r>
              <w:rPr>
                <w:rFonts w:hint="eastAsia" w:eastAsia="方正仿宋_GBK"/>
                <w:sz w:val="24"/>
                <w:szCs w:val="24"/>
              </w:rPr>
              <w:t>）第</w:t>
            </w:r>
            <w:r>
              <w:rPr>
                <w:rFonts w:eastAsia="方正仿宋_GBK"/>
                <w:sz w:val="24"/>
                <w:szCs w:val="24"/>
              </w:rPr>
              <w:t>5.7.5</w:t>
            </w:r>
            <w:r>
              <w:rPr>
                <w:rFonts w:hint="eastAsia" w:eastAsia="方正仿宋_GBK"/>
                <w:sz w:val="24"/>
                <w:szCs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14</w:t>
            </w:r>
          </w:p>
        </w:tc>
        <w:tc>
          <w:tcPr>
            <w:tcW w:w="1090" w:type="dxa"/>
            <w:vMerge w:val="continue"/>
            <w:noWrap w:val="0"/>
            <w:vAlign w:val="center"/>
          </w:tcPr>
          <w:p>
            <w:pPr>
              <w:spacing w:line="240" w:lineRule="exact"/>
              <w:ind w:right="-107" w:rightChars="-51"/>
              <w:rPr>
                <w:rFonts w:ascii="方正仿宋_GBK" w:eastAsia="方正仿宋_GBK"/>
                <w:sz w:val="24"/>
                <w:szCs w:val="24"/>
              </w:rPr>
            </w:pPr>
          </w:p>
        </w:tc>
        <w:tc>
          <w:tcPr>
            <w:tcW w:w="3685" w:type="dxa"/>
            <w:noWrap w:val="0"/>
            <w:vAlign w:val="center"/>
          </w:tcPr>
          <w:p>
            <w:pPr>
              <w:widowControl/>
              <w:shd w:val="clear" w:color="auto" w:fill="FFFFFF"/>
              <w:spacing w:line="240" w:lineRule="exact"/>
              <w:rPr>
                <w:rFonts w:eastAsia="方正仿宋_GBK"/>
                <w:sz w:val="24"/>
                <w:szCs w:val="24"/>
              </w:rPr>
            </w:pPr>
            <w:r>
              <w:rPr>
                <w:rFonts w:hint="eastAsia" w:eastAsia="方正仿宋_GBK"/>
                <w:sz w:val="24"/>
                <w:szCs w:val="24"/>
              </w:rPr>
              <w:t>公路工程施工，隧道竖井进口周围未设置防护栏和安全门的</w:t>
            </w:r>
          </w:p>
        </w:tc>
        <w:tc>
          <w:tcPr>
            <w:tcW w:w="3693" w:type="dxa"/>
            <w:noWrap w:val="0"/>
            <w:vAlign w:val="center"/>
          </w:tcPr>
          <w:p>
            <w:pPr>
              <w:widowControl/>
              <w:shd w:val="clear" w:color="auto" w:fill="FFFFFF"/>
              <w:spacing w:line="240" w:lineRule="exact"/>
              <w:rPr>
                <w:rFonts w:eastAsia="方正仿宋_GBK"/>
                <w:sz w:val="24"/>
                <w:szCs w:val="24"/>
              </w:rPr>
            </w:pPr>
            <w:r>
              <w:rPr>
                <w:rFonts w:hint="eastAsia" w:eastAsia="方正仿宋_GBK"/>
                <w:sz w:val="24"/>
                <w:szCs w:val="24"/>
              </w:rPr>
              <w:t>《公路工程施工安全技术规范》（</w:t>
            </w:r>
            <w:r>
              <w:rPr>
                <w:rFonts w:eastAsia="方正仿宋_GBK"/>
                <w:sz w:val="24"/>
                <w:szCs w:val="24"/>
              </w:rPr>
              <w:t>JTG F90-2015</w:t>
            </w:r>
            <w:r>
              <w:rPr>
                <w:rFonts w:hint="eastAsia" w:eastAsia="方正仿宋_GBK"/>
                <w:sz w:val="24"/>
                <w:szCs w:val="24"/>
              </w:rPr>
              <w:t>）第</w:t>
            </w:r>
            <w:r>
              <w:rPr>
                <w:rFonts w:eastAsia="方正仿宋_GBK"/>
                <w:sz w:val="24"/>
                <w:szCs w:val="24"/>
              </w:rPr>
              <w:t>9.7.5</w:t>
            </w:r>
            <w:r>
              <w:rPr>
                <w:rFonts w:hint="eastAsia" w:eastAsia="方正仿宋_GBK"/>
                <w:sz w:val="24"/>
                <w:szCs w:val="24"/>
              </w:rPr>
              <w:t>条</w:t>
            </w:r>
          </w:p>
          <w:p>
            <w:pPr>
              <w:widowControl/>
              <w:shd w:val="clear" w:color="auto" w:fill="FFFFFF"/>
              <w:spacing w:line="240" w:lineRule="exact"/>
              <w:rPr>
                <w:rFonts w:eastAsia="方正仿宋_GBK"/>
                <w:sz w:val="24"/>
                <w:szCs w:val="24"/>
              </w:rPr>
            </w:pPr>
            <w:r>
              <w:rPr>
                <w:rFonts w:hint="eastAsia" w:eastAsia="方正仿宋_GBK"/>
                <w:sz w:val="24"/>
                <w:szCs w:val="24"/>
              </w:rPr>
              <w:t>防护栏杆符合《公路工程施工安全技术规范》（</w:t>
            </w:r>
            <w:r>
              <w:rPr>
                <w:rFonts w:eastAsia="方正仿宋_GBK"/>
                <w:sz w:val="24"/>
                <w:szCs w:val="24"/>
              </w:rPr>
              <w:t>JTG F90-2015</w:t>
            </w:r>
            <w:r>
              <w:rPr>
                <w:rFonts w:hint="eastAsia" w:eastAsia="方正仿宋_GBK"/>
                <w:sz w:val="24"/>
                <w:szCs w:val="24"/>
              </w:rPr>
              <w:t>）第</w:t>
            </w:r>
            <w:r>
              <w:rPr>
                <w:rFonts w:eastAsia="方正仿宋_GBK"/>
                <w:sz w:val="24"/>
                <w:szCs w:val="24"/>
              </w:rPr>
              <w:t>5.7.5</w:t>
            </w:r>
            <w:r>
              <w:rPr>
                <w:rFonts w:hint="eastAsia" w:eastAsia="方正仿宋_GBK"/>
                <w:sz w:val="24"/>
                <w:szCs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15</w:t>
            </w:r>
          </w:p>
        </w:tc>
        <w:tc>
          <w:tcPr>
            <w:tcW w:w="1090" w:type="dxa"/>
            <w:noWrap w:val="0"/>
            <w:vAlign w:val="center"/>
          </w:tcPr>
          <w:p>
            <w:pPr>
              <w:spacing w:line="240" w:lineRule="exact"/>
              <w:ind w:right="-107" w:rightChars="-51"/>
              <w:rPr>
                <w:rFonts w:ascii="方正仿宋_GBK" w:eastAsia="方正仿宋_GBK"/>
                <w:sz w:val="24"/>
                <w:szCs w:val="24"/>
              </w:rPr>
            </w:pPr>
            <w:r>
              <w:rPr>
                <w:rFonts w:hint="eastAsia" w:ascii="方正仿宋_GBK" w:hAnsi="方正楷体_GBK" w:eastAsia="方正仿宋_GBK"/>
                <w:sz w:val="24"/>
                <w:szCs w:val="24"/>
              </w:rPr>
              <w:t>（三）吊运物体无人指挥的</w:t>
            </w:r>
          </w:p>
        </w:tc>
        <w:tc>
          <w:tcPr>
            <w:tcW w:w="3685" w:type="dxa"/>
            <w:noWrap w:val="0"/>
            <w:vAlign w:val="center"/>
          </w:tcPr>
          <w:p>
            <w:pPr>
              <w:spacing w:line="240" w:lineRule="exact"/>
              <w:ind w:right="-107" w:rightChars="-51"/>
              <w:rPr>
                <w:rFonts w:ascii="方正仿宋_GBK" w:eastAsia="方正仿宋_GBK"/>
                <w:sz w:val="24"/>
                <w:szCs w:val="24"/>
              </w:rPr>
            </w:pPr>
            <w:r>
              <w:rPr>
                <w:rFonts w:hint="eastAsia" w:ascii="方正仿宋_GBK" w:hAnsi="方正楷体_GBK" w:eastAsia="方正仿宋_GBK"/>
                <w:sz w:val="24"/>
                <w:szCs w:val="24"/>
              </w:rPr>
              <w:t>吊运物体无人指挥的</w:t>
            </w:r>
          </w:p>
        </w:tc>
        <w:tc>
          <w:tcPr>
            <w:tcW w:w="3693" w:type="dxa"/>
            <w:noWrap w:val="0"/>
            <w:vAlign w:val="center"/>
          </w:tcPr>
          <w:p>
            <w:pPr>
              <w:spacing w:line="240" w:lineRule="exact"/>
              <w:ind w:right="-107" w:rightChars="-51"/>
              <w:rPr>
                <w:rFonts w:ascii="方正仿宋_GBK"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16</w:t>
            </w:r>
          </w:p>
        </w:tc>
        <w:tc>
          <w:tcPr>
            <w:tcW w:w="1090" w:type="dxa"/>
            <w:vMerge w:val="restart"/>
            <w:noWrap w:val="0"/>
            <w:vAlign w:val="center"/>
          </w:tcPr>
          <w:p>
            <w:pPr>
              <w:spacing w:line="240" w:lineRule="exact"/>
              <w:ind w:right="-107" w:rightChars="-51"/>
              <w:rPr>
                <w:rFonts w:ascii="方正仿宋_GBK" w:hAnsi="方正楷体_GBK" w:eastAsia="方正仿宋_GBK"/>
                <w:sz w:val="24"/>
                <w:szCs w:val="24"/>
              </w:rPr>
            </w:pPr>
            <w:r>
              <w:rPr>
                <w:rFonts w:hint="eastAsia" w:ascii="方正仿宋_GBK" w:hAnsi="方正楷体_GBK" w:eastAsia="方正仿宋_GBK"/>
                <w:sz w:val="24"/>
                <w:szCs w:val="24"/>
              </w:rPr>
              <w:t>（四）使用破损的用电防护设施、违章使用用电设备的</w:t>
            </w: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施工现场临时用电工程专用的电源中性点直接接地的</w:t>
            </w:r>
            <w:r>
              <w:rPr>
                <w:rFonts w:eastAsia="方正仿宋_GBK"/>
                <w:sz w:val="24"/>
                <w:szCs w:val="24"/>
              </w:rPr>
              <w:t>220/380V</w:t>
            </w:r>
            <w:r>
              <w:rPr>
                <w:rFonts w:hint="eastAsia" w:eastAsia="方正仿宋_GBK"/>
                <w:sz w:val="24"/>
                <w:szCs w:val="24"/>
              </w:rPr>
              <w:t>三相四线制低压电力系统，未采用三级配电系统的；或未采用</w:t>
            </w:r>
            <w:r>
              <w:rPr>
                <w:rFonts w:eastAsia="方正仿宋_GBK"/>
                <w:sz w:val="24"/>
                <w:szCs w:val="24"/>
              </w:rPr>
              <w:t>TN-S</w:t>
            </w:r>
            <w:r>
              <w:rPr>
                <w:rFonts w:hint="eastAsia" w:eastAsia="方正仿宋_GBK"/>
                <w:sz w:val="24"/>
                <w:szCs w:val="24"/>
              </w:rPr>
              <w:t>接零保护系统的；或未采用二级漏电保护系统的</w:t>
            </w:r>
          </w:p>
        </w:tc>
        <w:tc>
          <w:tcPr>
            <w:tcW w:w="3693" w:type="dxa"/>
            <w:noWrap w:val="0"/>
            <w:vAlign w:val="center"/>
          </w:tcPr>
          <w:p>
            <w:pPr>
              <w:spacing w:line="240" w:lineRule="exact"/>
              <w:ind w:right="-107" w:rightChars="-51"/>
              <w:rPr>
                <w:rFonts w:eastAsia="方正仿宋_GBK"/>
                <w:sz w:val="24"/>
                <w:szCs w:val="24"/>
              </w:rPr>
            </w:pPr>
            <w:r>
              <w:rPr>
                <w:rFonts w:hint="eastAsia" w:eastAsia="方正仿宋_GBK"/>
                <w:sz w:val="24"/>
                <w:szCs w:val="24"/>
              </w:rPr>
              <w:t>《公路工程施工安全技术规范》（</w:t>
            </w:r>
            <w:r>
              <w:rPr>
                <w:rFonts w:eastAsia="方正仿宋_GBK"/>
                <w:sz w:val="24"/>
                <w:szCs w:val="24"/>
              </w:rPr>
              <w:t>JTG F90-2015</w:t>
            </w:r>
            <w:r>
              <w:rPr>
                <w:rFonts w:hint="eastAsia" w:eastAsia="方正仿宋_GBK"/>
                <w:sz w:val="24"/>
                <w:szCs w:val="24"/>
              </w:rPr>
              <w:t>）第</w:t>
            </w:r>
            <w:r>
              <w:rPr>
                <w:rFonts w:eastAsia="方正仿宋_GBK"/>
                <w:sz w:val="24"/>
                <w:szCs w:val="24"/>
              </w:rPr>
              <w:t>4.4.3</w:t>
            </w:r>
            <w:r>
              <w:rPr>
                <w:rFonts w:hint="eastAsia" w:eastAsia="方正仿宋_GBK"/>
                <w:sz w:val="24"/>
                <w:szCs w:val="24"/>
              </w:rPr>
              <w:t>条</w:t>
            </w:r>
          </w:p>
          <w:p>
            <w:pPr>
              <w:spacing w:line="240" w:lineRule="exact"/>
              <w:ind w:right="-107" w:rightChars="-51"/>
              <w:rPr>
                <w:rFonts w:eastAsia="方正仿宋_GBK"/>
                <w:sz w:val="24"/>
                <w:szCs w:val="24"/>
              </w:rPr>
            </w:pPr>
            <w:r>
              <w:rPr>
                <w:rFonts w:hint="eastAsia" w:eastAsia="方正仿宋_GBK"/>
                <w:sz w:val="24"/>
                <w:szCs w:val="24"/>
              </w:rPr>
              <w:t>《水运工程施工安全防护技术规范》（</w:t>
            </w:r>
            <w:r>
              <w:rPr>
                <w:rFonts w:eastAsia="方正仿宋_GBK"/>
                <w:sz w:val="24"/>
                <w:szCs w:val="24"/>
              </w:rPr>
              <w:t>JTS205-1-2008</w:t>
            </w:r>
            <w:r>
              <w:rPr>
                <w:rFonts w:hint="eastAsia" w:eastAsia="方正仿宋_GBK"/>
                <w:sz w:val="24"/>
                <w:szCs w:val="24"/>
              </w:rPr>
              <w:t>）第</w:t>
            </w:r>
            <w:r>
              <w:rPr>
                <w:rFonts w:eastAsia="方正仿宋_GBK"/>
                <w:sz w:val="24"/>
                <w:szCs w:val="24"/>
              </w:rPr>
              <w:t>4.4.1</w:t>
            </w:r>
            <w:r>
              <w:rPr>
                <w:rFonts w:hint="eastAsia" w:eastAsia="方正仿宋_GBK"/>
                <w:sz w:val="24"/>
                <w:szCs w:val="24"/>
              </w:rPr>
              <w:t>条</w:t>
            </w:r>
          </w:p>
          <w:p>
            <w:pPr>
              <w:spacing w:line="240" w:lineRule="exact"/>
              <w:ind w:right="-107" w:rightChars="-51"/>
              <w:rPr>
                <w:rFonts w:eastAsia="方正仿宋_GBK"/>
                <w:sz w:val="24"/>
                <w:szCs w:val="24"/>
              </w:rPr>
            </w:pPr>
            <w:r>
              <w:rPr>
                <w:rFonts w:hint="eastAsia" w:eastAsia="方正仿宋_GBK"/>
                <w:sz w:val="24"/>
                <w:szCs w:val="24"/>
              </w:rPr>
              <w:t>《施工现场临时用电安全技术规范》（</w:t>
            </w:r>
            <w:r>
              <w:rPr>
                <w:rFonts w:eastAsia="方正仿宋_GBK"/>
                <w:sz w:val="24"/>
                <w:szCs w:val="24"/>
              </w:rPr>
              <w:t>JGJ 46-2005</w:t>
            </w:r>
            <w:r>
              <w:rPr>
                <w:rFonts w:hint="eastAsia" w:eastAsia="方正仿宋_GBK"/>
                <w:sz w:val="24"/>
                <w:szCs w:val="24"/>
              </w:rPr>
              <w:t>）第</w:t>
            </w:r>
            <w:r>
              <w:rPr>
                <w:rFonts w:eastAsia="方正仿宋_GBK"/>
                <w:sz w:val="24"/>
                <w:szCs w:val="24"/>
              </w:rPr>
              <w:t>1.0.3</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17</w:t>
            </w:r>
          </w:p>
        </w:tc>
        <w:tc>
          <w:tcPr>
            <w:tcW w:w="1090" w:type="dxa"/>
            <w:vMerge w:val="continue"/>
            <w:noWrap w:val="0"/>
            <w:vAlign w:val="center"/>
          </w:tcPr>
          <w:p>
            <w:pPr>
              <w:spacing w:line="240" w:lineRule="exact"/>
              <w:ind w:right="-107" w:rightChars="-51"/>
              <w:rPr>
                <w:rFonts w:ascii="方正仿宋_GBK" w:hAnsi="方正楷体_GBK" w:eastAsia="方正仿宋_GBK"/>
                <w:sz w:val="24"/>
                <w:szCs w:val="24"/>
              </w:rPr>
            </w:pP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发电机组电源与其他电源未相互闭锁的</w:t>
            </w:r>
          </w:p>
        </w:tc>
        <w:tc>
          <w:tcPr>
            <w:tcW w:w="3693" w:type="dxa"/>
            <w:noWrap w:val="0"/>
            <w:vAlign w:val="center"/>
          </w:tcPr>
          <w:p>
            <w:pPr>
              <w:spacing w:line="240" w:lineRule="exact"/>
              <w:ind w:right="-107" w:rightChars="-51"/>
              <w:rPr>
                <w:rFonts w:eastAsia="方正仿宋_GBK"/>
                <w:sz w:val="24"/>
                <w:szCs w:val="24"/>
              </w:rPr>
            </w:pPr>
            <w:r>
              <w:rPr>
                <w:rFonts w:hint="eastAsia" w:eastAsia="方正仿宋_GBK"/>
                <w:sz w:val="24"/>
                <w:szCs w:val="24"/>
              </w:rPr>
              <w:t>《建设工程施工现场供用电安全规范》（</w:t>
            </w:r>
            <w:r>
              <w:rPr>
                <w:rFonts w:eastAsia="方正仿宋_GBK"/>
                <w:sz w:val="24"/>
                <w:szCs w:val="24"/>
              </w:rPr>
              <w:t>GB50194-2014</w:t>
            </w:r>
            <w:r>
              <w:rPr>
                <w:rFonts w:hint="eastAsia" w:eastAsia="方正仿宋_GBK"/>
                <w:sz w:val="24"/>
                <w:szCs w:val="24"/>
              </w:rPr>
              <w:t>）第</w:t>
            </w:r>
            <w:r>
              <w:rPr>
                <w:rFonts w:eastAsia="方正仿宋_GBK"/>
                <w:sz w:val="24"/>
                <w:szCs w:val="24"/>
              </w:rPr>
              <w:t>4.0.4</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18</w:t>
            </w:r>
          </w:p>
        </w:tc>
        <w:tc>
          <w:tcPr>
            <w:tcW w:w="1090" w:type="dxa"/>
            <w:vMerge w:val="continue"/>
            <w:noWrap w:val="0"/>
            <w:vAlign w:val="center"/>
          </w:tcPr>
          <w:p>
            <w:pPr>
              <w:spacing w:line="240" w:lineRule="exact"/>
              <w:ind w:right="-107" w:rightChars="-51"/>
              <w:rPr>
                <w:rFonts w:ascii="方正仿宋_GBK" w:hAnsi="方正楷体_GBK" w:eastAsia="方正仿宋_GBK"/>
                <w:sz w:val="24"/>
                <w:szCs w:val="24"/>
              </w:rPr>
            </w:pP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消防泵、施工升降机、塔式起重机、混凝土输送泵等大型设备未设专用配电箱的</w:t>
            </w:r>
          </w:p>
        </w:tc>
        <w:tc>
          <w:tcPr>
            <w:tcW w:w="3693" w:type="dxa"/>
            <w:noWrap w:val="0"/>
            <w:vAlign w:val="center"/>
          </w:tcPr>
          <w:p>
            <w:pPr>
              <w:spacing w:line="240" w:lineRule="exact"/>
              <w:ind w:right="-107" w:rightChars="-51"/>
              <w:rPr>
                <w:rFonts w:eastAsia="方正仿宋_GBK"/>
                <w:sz w:val="24"/>
                <w:szCs w:val="24"/>
              </w:rPr>
            </w:pPr>
            <w:r>
              <w:rPr>
                <w:rFonts w:hint="eastAsia" w:eastAsia="方正仿宋_GBK"/>
                <w:sz w:val="24"/>
                <w:szCs w:val="24"/>
              </w:rPr>
              <w:t>《建设工程施工现场供用电安全规范》（</w:t>
            </w:r>
            <w:r>
              <w:rPr>
                <w:rFonts w:eastAsia="方正仿宋_GBK"/>
                <w:sz w:val="24"/>
                <w:szCs w:val="24"/>
              </w:rPr>
              <w:t>GB50194-2014</w:t>
            </w:r>
            <w:r>
              <w:rPr>
                <w:rFonts w:hint="eastAsia" w:eastAsia="方正仿宋_GBK"/>
                <w:sz w:val="24"/>
                <w:szCs w:val="24"/>
              </w:rPr>
              <w:t>）第</w:t>
            </w:r>
            <w:r>
              <w:rPr>
                <w:rFonts w:eastAsia="方正仿宋_GBK"/>
                <w:sz w:val="24"/>
                <w:szCs w:val="24"/>
              </w:rPr>
              <w:t>6.1.4</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19</w:t>
            </w:r>
          </w:p>
        </w:tc>
        <w:tc>
          <w:tcPr>
            <w:tcW w:w="1090" w:type="dxa"/>
            <w:vMerge w:val="continue"/>
            <w:noWrap w:val="0"/>
            <w:vAlign w:val="center"/>
          </w:tcPr>
          <w:p>
            <w:pPr>
              <w:spacing w:line="240" w:lineRule="exact"/>
              <w:ind w:right="-107" w:rightChars="-51"/>
              <w:rPr>
                <w:rFonts w:ascii="方正仿宋_GBK" w:hAnsi="方正楷体_GBK" w:eastAsia="方正仿宋_GBK"/>
                <w:sz w:val="24"/>
                <w:szCs w:val="24"/>
              </w:rPr>
            </w:pP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配电箱内的连接导线有接头、或线芯损伤、或断股的；或配电箱外壳未通过保护导体（</w:t>
            </w:r>
            <w:r>
              <w:rPr>
                <w:rFonts w:eastAsia="方正仿宋_GBK"/>
                <w:sz w:val="24"/>
                <w:szCs w:val="24"/>
              </w:rPr>
              <w:t>PE</w:t>
            </w:r>
            <w:r>
              <w:rPr>
                <w:rFonts w:hint="eastAsia" w:eastAsia="方正仿宋_GBK"/>
                <w:sz w:val="24"/>
                <w:szCs w:val="24"/>
              </w:rPr>
              <w:t>）汇流排可靠接地的；或末级配电箱进线未设置总断路器的；或末级配电箱各分支回路未设置具有短路、过负荷、剩余电流动作保护功能的电器的</w:t>
            </w:r>
          </w:p>
        </w:tc>
        <w:tc>
          <w:tcPr>
            <w:tcW w:w="3693" w:type="dxa"/>
            <w:noWrap w:val="0"/>
            <w:vAlign w:val="center"/>
          </w:tcPr>
          <w:p>
            <w:pPr>
              <w:spacing w:line="240" w:lineRule="exact"/>
              <w:ind w:right="-107" w:rightChars="-51"/>
              <w:rPr>
                <w:rFonts w:eastAsia="方正仿宋_GBK"/>
                <w:sz w:val="24"/>
                <w:szCs w:val="24"/>
              </w:rPr>
            </w:pPr>
            <w:r>
              <w:rPr>
                <w:rFonts w:hint="eastAsia" w:eastAsia="方正仿宋_GBK"/>
                <w:sz w:val="24"/>
                <w:szCs w:val="24"/>
              </w:rPr>
              <w:t>《建设工程施工现场供用电安全规范》（</w:t>
            </w:r>
            <w:r>
              <w:rPr>
                <w:rFonts w:eastAsia="方正仿宋_GBK"/>
                <w:sz w:val="24"/>
                <w:szCs w:val="24"/>
              </w:rPr>
              <w:t>GB50194-2014</w:t>
            </w:r>
            <w:r>
              <w:rPr>
                <w:rFonts w:hint="eastAsia" w:eastAsia="方正仿宋_GBK"/>
                <w:sz w:val="24"/>
                <w:szCs w:val="24"/>
              </w:rPr>
              <w:t>）第</w:t>
            </w:r>
            <w:r>
              <w:rPr>
                <w:rFonts w:eastAsia="方正仿宋_GBK"/>
                <w:sz w:val="24"/>
                <w:szCs w:val="24"/>
              </w:rPr>
              <w:t>6.3.10</w:t>
            </w:r>
            <w:r>
              <w:rPr>
                <w:rFonts w:hint="eastAsia" w:eastAsia="方正仿宋_GBK"/>
                <w:sz w:val="24"/>
                <w:szCs w:val="24"/>
              </w:rPr>
              <w:t>条、</w:t>
            </w:r>
            <w:r>
              <w:rPr>
                <w:rFonts w:eastAsia="方正仿宋_GBK"/>
                <w:sz w:val="24"/>
                <w:szCs w:val="24"/>
              </w:rPr>
              <w:t>6.3.12</w:t>
            </w:r>
            <w:r>
              <w:rPr>
                <w:rFonts w:hint="eastAsia" w:eastAsia="方正仿宋_GBK"/>
                <w:sz w:val="24"/>
                <w:szCs w:val="24"/>
              </w:rPr>
              <w:t>条、</w:t>
            </w:r>
            <w:r>
              <w:rPr>
                <w:rFonts w:eastAsia="方正仿宋_GBK"/>
                <w:sz w:val="24"/>
                <w:szCs w:val="24"/>
              </w:rPr>
              <w:t>6.4.4</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20</w:t>
            </w:r>
          </w:p>
        </w:tc>
        <w:tc>
          <w:tcPr>
            <w:tcW w:w="1090" w:type="dxa"/>
            <w:vMerge w:val="continue"/>
            <w:noWrap w:val="0"/>
            <w:vAlign w:val="center"/>
          </w:tcPr>
          <w:p>
            <w:pPr>
              <w:spacing w:line="240" w:lineRule="exact"/>
              <w:ind w:right="-107" w:rightChars="-51"/>
              <w:rPr>
                <w:rFonts w:ascii="方正仿宋_GBK" w:hAnsi="方正楷体_GBK" w:eastAsia="方正仿宋_GBK"/>
                <w:b/>
                <w:sz w:val="24"/>
                <w:szCs w:val="24"/>
              </w:rPr>
            </w:pP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配电线路跨越在建工程、脚手架或临时建筑物的；或敷设在树木上的；或直接绑挂在金属构架和金属脚手架上的</w:t>
            </w:r>
          </w:p>
        </w:tc>
        <w:tc>
          <w:tcPr>
            <w:tcW w:w="3693" w:type="dxa"/>
            <w:noWrap w:val="0"/>
            <w:vAlign w:val="center"/>
          </w:tcPr>
          <w:p>
            <w:pPr>
              <w:spacing w:line="240" w:lineRule="exact"/>
              <w:ind w:right="-107" w:rightChars="-51"/>
              <w:rPr>
                <w:rFonts w:eastAsia="方正仿宋_GBK"/>
                <w:b/>
                <w:sz w:val="24"/>
                <w:szCs w:val="24"/>
              </w:rPr>
            </w:pPr>
            <w:r>
              <w:rPr>
                <w:rFonts w:hint="eastAsia" w:eastAsia="方正仿宋_GBK"/>
                <w:sz w:val="24"/>
                <w:szCs w:val="24"/>
              </w:rPr>
              <w:t>《建设工程施工现场供用电安全规范》（</w:t>
            </w:r>
            <w:r>
              <w:rPr>
                <w:rFonts w:eastAsia="方正仿宋_GBK"/>
                <w:sz w:val="24"/>
                <w:szCs w:val="24"/>
              </w:rPr>
              <w:t>GB50194-2014</w:t>
            </w:r>
            <w:r>
              <w:rPr>
                <w:rFonts w:hint="eastAsia" w:eastAsia="方正仿宋_GBK"/>
                <w:sz w:val="24"/>
                <w:szCs w:val="24"/>
              </w:rPr>
              <w:t>）第</w:t>
            </w:r>
            <w:r>
              <w:rPr>
                <w:rFonts w:eastAsia="方正仿宋_GBK"/>
                <w:sz w:val="24"/>
                <w:szCs w:val="24"/>
              </w:rPr>
              <w:t>7.1.1</w:t>
            </w:r>
            <w:r>
              <w:rPr>
                <w:rFonts w:hint="eastAsia" w:eastAsia="方正仿宋_GBK"/>
                <w:sz w:val="24"/>
                <w:szCs w:val="24"/>
              </w:rPr>
              <w:t>条、</w:t>
            </w:r>
            <w:r>
              <w:rPr>
                <w:rFonts w:eastAsia="方正仿宋_GBK"/>
                <w:sz w:val="24"/>
                <w:szCs w:val="24"/>
              </w:rPr>
              <w:t>7.1.2</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21</w:t>
            </w:r>
          </w:p>
        </w:tc>
        <w:tc>
          <w:tcPr>
            <w:tcW w:w="1090" w:type="dxa"/>
            <w:vMerge w:val="continue"/>
            <w:noWrap w:val="0"/>
            <w:vAlign w:val="center"/>
          </w:tcPr>
          <w:p>
            <w:pPr>
              <w:spacing w:line="240" w:lineRule="exact"/>
              <w:ind w:right="-107" w:rightChars="-51"/>
              <w:rPr>
                <w:rFonts w:ascii="方正仿宋_GBK" w:hAnsi="方正楷体_GBK" w:eastAsia="方正仿宋_GBK"/>
                <w:sz w:val="24"/>
                <w:szCs w:val="24"/>
              </w:rPr>
            </w:pP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总配电箱、分配电箱及架空线路终端保护导体（</w:t>
            </w:r>
            <w:r>
              <w:rPr>
                <w:rFonts w:eastAsia="方正仿宋_GBK"/>
                <w:sz w:val="24"/>
                <w:szCs w:val="24"/>
              </w:rPr>
              <w:t>PE</w:t>
            </w:r>
            <w:r>
              <w:rPr>
                <w:rFonts w:hint="eastAsia" w:eastAsia="方正仿宋_GBK"/>
                <w:sz w:val="24"/>
                <w:szCs w:val="24"/>
              </w:rPr>
              <w:t>）未做重复接地的，或重复接地电阻大于</w:t>
            </w:r>
            <w:r>
              <w:rPr>
                <w:rFonts w:eastAsia="方正仿宋_GBK"/>
                <w:sz w:val="24"/>
                <w:szCs w:val="24"/>
              </w:rPr>
              <w:t>10</w:t>
            </w:r>
            <w:r>
              <w:rPr>
                <w:rFonts w:hint="eastAsia" w:eastAsia="方正仿宋_GBK"/>
                <w:sz w:val="24"/>
                <w:szCs w:val="24"/>
              </w:rPr>
              <w:t>Ω的；或人工接地体采用螺纹钢筋的</w:t>
            </w:r>
          </w:p>
        </w:tc>
        <w:tc>
          <w:tcPr>
            <w:tcW w:w="3693" w:type="dxa"/>
            <w:noWrap w:val="0"/>
            <w:vAlign w:val="center"/>
          </w:tcPr>
          <w:p>
            <w:pPr>
              <w:spacing w:line="240" w:lineRule="exact"/>
              <w:ind w:right="-107" w:rightChars="-51"/>
              <w:rPr>
                <w:rFonts w:eastAsia="方正仿宋_GBK"/>
                <w:sz w:val="24"/>
                <w:szCs w:val="24"/>
              </w:rPr>
            </w:pPr>
            <w:r>
              <w:rPr>
                <w:rFonts w:hint="eastAsia" w:eastAsia="方正仿宋_GBK"/>
                <w:sz w:val="24"/>
                <w:szCs w:val="24"/>
              </w:rPr>
              <w:t>《建设工程施工现场供用电安全规范》（</w:t>
            </w:r>
            <w:r>
              <w:rPr>
                <w:rFonts w:eastAsia="方正仿宋_GBK"/>
                <w:sz w:val="24"/>
                <w:szCs w:val="24"/>
              </w:rPr>
              <w:t>GB50194-2014</w:t>
            </w:r>
            <w:r>
              <w:rPr>
                <w:rFonts w:hint="eastAsia" w:eastAsia="方正仿宋_GBK"/>
                <w:sz w:val="24"/>
                <w:szCs w:val="24"/>
              </w:rPr>
              <w:t>）第</w:t>
            </w:r>
            <w:r>
              <w:rPr>
                <w:rFonts w:eastAsia="方正仿宋_GBK"/>
                <w:sz w:val="24"/>
                <w:szCs w:val="24"/>
              </w:rPr>
              <w:t>8.1.2</w:t>
            </w:r>
            <w:r>
              <w:rPr>
                <w:rFonts w:hint="eastAsia" w:eastAsia="方正仿宋_GBK"/>
                <w:sz w:val="24"/>
                <w:szCs w:val="24"/>
              </w:rPr>
              <w:t>、</w:t>
            </w:r>
            <w:r>
              <w:rPr>
                <w:rFonts w:eastAsia="方正仿宋_GBK"/>
                <w:sz w:val="24"/>
                <w:szCs w:val="24"/>
              </w:rPr>
              <w:t>8.1.8</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22</w:t>
            </w:r>
          </w:p>
        </w:tc>
        <w:tc>
          <w:tcPr>
            <w:tcW w:w="1090" w:type="dxa"/>
            <w:vMerge w:val="continue"/>
            <w:noWrap w:val="0"/>
            <w:vAlign w:val="center"/>
          </w:tcPr>
          <w:p>
            <w:pPr>
              <w:spacing w:line="240" w:lineRule="exact"/>
              <w:ind w:right="-107" w:rightChars="-51"/>
              <w:rPr>
                <w:rFonts w:ascii="方正仿宋_GBK" w:hAnsi="方正楷体_GBK" w:eastAsia="方正仿宋_GBK"/>
                <w:sz w:val="24"/>
                <w:szCs w:val="24"/>
              </w:rPr>
            </w:pP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施工现场和临时生活区的高度在</w:t>
            </w:r>
            <w:r>
              <w:rPr>
                <w:rFonts w:eastAsia="方正仿宋_GBK"/>
                <w:sz w:val="24"/>
                <w:szCs w:val="24"/>
              </w:rPr>
              <w:t>20</w:t>
            </w:r>
            <w:r>
              <w:rPr>
                <w:rFonts w:hint="eastAsia" w:eastAsia="方正仿宋_GBK"/>
                <w:sz w:val="24"/>
                <w:szCs w:val="24"/>
              </w:rPr>
              <w:t>米及以上的钢脚手架、正在施工的建筑物及塔式起重机、井子架、施工升降机、机具等设施未设置防雷保护措施，且未在其他建筑物或设施的防雷保护范围之内的</w:t>
            </w:r>
          </w:p>
        </w:tc>
        <w:tc>
          <w:tcPr>
            <w:tcW w:w="3693" w:type="dxa"/>
            <w:noWrap w:val="0"/>
            <w:vAlign w:val="center"/>
          </w:tcPr>
          <w:p>
            <w:pPr>
              <w:spacing w:line="240" w:lineRule="exact"/>
              <w:ind w:right="-107" w:rightChars="-51"/>
              <w:rPr>
                <w:rFonts w:eastAsia="方正仿宋_GBK"/>
                <w:sz w:val="24"/>
                <w:szCs w:val="24"/>
              </w:rPr>
            </w:pPr>
            <w:r>
              <w:rPr>
                <w:rFonts w:hint="eastAsia" w:eastAsia="方正仿宋_GBK"/>
                <w:sz w:val="24"/>
                <w:szCs w:val="24"/>
              </w:rPr>
              <w:t>《建设工程施工现场供用电安全规范》（</w:t>
            </w:r>
            <w:r>
              <w:rPr>
                <w:rFonts w:eastAsia="方正仿宋_GBK"/>
                <w:sz w:val="24"/>
                <w:szCs w:val="24"/>
              </w:rPr>
              <w:t>GB50194-2014</w:t>
            </w:r>
            <w:r>
              <w:rPr>
                <w:rFonts w:hint="eastAsia" w:eastAsia="方正仿宋_GBK"/>
                <w:sz w:val="24"/>
                <w:szCs w:val="24"/>
              </w:rPr>
              <w:t>）第</w:t>
            </w:r>
            <w:r>
              <w:rPr>
                <w:rFonts w:eastAsia="方正仿宋_GBK"/>
                <w:sz w:val="24"/>
                <w:szCs w:val="24"/>
              </w:rPr>
              <w:t>8.2.2</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23</w:t>
            </w:r>
          </w:p>
        </w:tc>
        <w:tc>
          <w:tcPr>
            <w:tcW w:w="1090" w:type="dxa"/>
            <w:vMerge w:val="continue"/>
            <w:noWrap w:val="0"/>
            <w:vAlign w:val="center"/>
          </w:tcPr>
          <w:p>
            <w:pPr>
              <w:spacing w:line="240" w:lineRule="exact"/>
              <w:ind w:right="-107" w:rightChars="-51"/>
              <w:rPr>
                <w:rFonts w:ascii="方正仿宋_GBK" w:hAnsi="方正楷体_GBK" w:eastAsia="方正仿宋_GBK"/>
                <w:sz w:val="24"/>
                <w:szCs w:val="24"/>
              </w:rPr>
            </w:pP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公路工程施工，临时用电配电箱、开关箱未选用专业厂家定型、合格产品的</w:t>
            </w:r>
          </w:p>
        </w:tc>
        <w:tc>
          <w:tcPr>
            <w:tcW w:w="3693" w:type="dxa"/>
            <w:noWrap w:val="0"/>
            <w:vAlign w:val="center"/>
          </w:tcPr>
          <w:p>
            <w:pPr>
              <w:spacing w:line="240" w:lineRule="exact"/>
              <w:ind w:right="-107" w:rightChars="-51"/>
              <w:rPr>
                <w:rFonts w:eastAsia="方正仿宋_GBK"/>
                <w:sz w:val="24"/>
                <w:szCs w:val="24"/>
              </w:rPr>
            </w:pPr>
            <w:r>
              <w:rPr>
                <w:rFonts w:hint="eastAsia" w:eastAsia="方正仿宋_GBK"/>
                <w:sz w:val="24"/>
                <w:szCs w:val="24"/>
              </w:rPr>
              <w:t>《公路工程施工安全技术规范》（</w:t>
            </w:r>
            <w:r>
              <w:rPr>
                <w:rFonts w:eastAsia="方正仿宋_GBK"/>
                <w:sz w:val="24"/>
                <w:szCs w:val="24"/>
              </w:rPr>
              <w:t>JTG F90-2015</w:t>
            </w:r>
            <w:r>
              <w:rPr>
                <w:rFonts w:hint="eastAsia" w:eastAsia="方正仿宋_GBK"/>
                <w:sz w:val="24"/>
                <w:szCs w:val="24"/>
              </w:rPr>
              <w:t>）第</w:t>
            </w:r>
            <w:r>
              <w:rPr>
                <w:rFonts w:eastAsia="方正仿宋_GBK"/>
                <w:sz w:val="24"/>
                <w:szCs w:val="24"/>
              </w:rPr>
              <w:t>4.4.8</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24</w:t>
            </w:r>
          </w:p>
        </w:tc>
        <w:tc>
          <w:tcPr>
            <w:tcW w:w="1090" w:type="dxa"/>
            <w:vMerge w:val="continue"/>
            <w:noWrap w:val="0"/>
            <w:vAlign w:val="center"/>
          </w:tcPr>
          <w:p>
            <w:pPr>
              <w:spacing w:line="240" w:lineRule="exact"/>
              <w:ind w:right="-107" w:rightChars="-51"/>
              <w:rPr>
                <w:rFonts w:ascii="方正仿宋_GBK" w:hAnsi="方正楷体_GBK" w:eastAsia="方正仿宋_GBK"/>
                <w:sz w:val="24"/>
                <w:szCs w:val="24"/>
              </w:rPr>
            </w:pP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水运工程施工，潮湿多雨季节，未定期检测机电设备的绝缘电阻和接地装置的；或电气开关未采取防雨措施的</w:t>
            </w:r>
          </w:p>
        </w:tc>
        <w:tc>
          <w:tcPr>
            <w:tcW w:w="3693" w:type="dxa"/>
            <w:noWrap w:val="0"/>
            <w:vAlign w:val="center"/>
          </w:tcPr>
          <w:p>
            <w:pPr>
              <w:spacing w:line="240" w:lineRule="exact"/>
              <w:ind w:right="-107" w:rightChars="-51"/>
              <w:rPr>
                <w:rFonts w:eastAsia="方正仿宋_GBK"/>
                <w:sz w:val="24"/>
                <w:szCs w:val="24"/>
              </w:rPr>
            </w:pPr>
            <w:r>
              <w:rPr>
                <w:rFonts w:hint="eastAsia" w:eastAsia="方正仿宋_GBK"/>
                <w:sz w:val="24"/>
                <w:szCs w:val="24"/>
              </w:rPr>
              <w:t>《水运工程施工安全防护技术规范》（</w:t>
            </w:r>
            <w:r>
              <w:rPr>
                <w:rFonts w:eastAsia="方正仿宋_GBK"/>
                <w:sz w:val="24"/>
                <w:szCs w:val="24"/>
              </w:rPr>
              <w:t>JTS205-1-2008</w:t>
            </w:r>
            <w:r>
              <w:rPr>
                <w:rFonts w:hint="eastAsia" w:eastAsia="方正仿宋_GBK"/>
                <w:sz w:val="24"/>
                <w:szCs w:val="24"/>
              </w:rPr>
              <w:t>）第</w:t>
            </w:r>
            <w:r>
              <w:rPr>
                <w:rFonts w:eastAsia="方正仿宋_GBK"/>
                <w:sz w:val="24"/>
                <w:szCs w:val="24"/>
              </w:rPr>
              <w:t>11.1.4</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25</w:t>
            </w:r>
          </w:p>
        </w:tc>
        <w:tc>
          <w:tcPr>
            <w:tcW w:w="1090" w:type="dxa"/>
            <w:vMerge w:val="restart"/>
            <w:noWrap w:val="0"/>
            <w:vAlign w:val="center"/>
          </w:tcPr>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r>
              <w:rPr>
                <w:rFonts w:hint="eastAsia" w:ascii="方正仿宋_GBK" w:hAnsi="方正楷体_GBK" w:eastAsia="方正仿宋_GBK"/>
                <w:sz w:val="24"/>
                <w:szCs w:val="24"/>
              </w:rPr>
              <w:t>（五）存在施工现场其他违法行为的</w:t>
            </w: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hint="eastAsia" w:ascii="方正仿宋_GBK" w:hAnsi="方正楷体_GBK" w:eastAsia="方正仿宋_GBK"/>
                <w:sz w:val="24"/>
                <w:szCs w:val="24"/>
              </w:rPr>
            </w:pPr>
          </w:p>
          <w:p>
            <w:pPr>
              <w:spacing w:line="240" w:lineRule="exact"/>
              <w:ind w:right="-107" w:rightChars="-51"/>
              <w:jc w:val="center"/>
              <w:rPr>
                <w:rFonts w:ascii="方正仿宋_GBK" w:hAnsi="方正楷体_GBK" w:eastAsia="方正仿宋_GBK"/>
                <w:sz w:val="24"/>
                <w:szCs w:val="24"/>
              </w:rPr>
            </w:pP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起重吊装采用斜拉、斜吊的；或起吊埋于地下或黏结在地面上的构件的；或超载吊装的；或吊装重量不明的重型构件和设备的；或使用起重机载运人员的；或在已吊起的构件下面或起重臂下旋转范围内作业或通行的</w:t>
            </w:r>
          </w:p>
        </w:tc>
        <w:tc>
          <w:tcPr>
            <w:tcW w:w="3693" w:type="dxa"/>
            <w:noWrap w:val="0"/>
            <w:vAlign w:val="center"/>
          </w:tcPr>
          <w:p>
            <w:pPr>
              <w:spacing w:line="240" w:lineRule="exact"/>
              <w:ind w:right="-107" w:rightChars="-51"/>
              <w:rPr>
                <w:rFonts w:eastAsia="方正仿宋_GBK"/>
                <w:sz w:val="24"/>
                <w:szCs w:val="24"/>
              </w:rPr>
            </w:pPr>
            <w:r>
              <w:rPr>
                <w:rFonts w:hint="eastAsia" w:eastAsia="方正仿宋_GBK"/>
                <w:sz w:val="24"/>
                <w:szCs w:val="24"/>
              </w:rPr>
              <w:t>《建筑施工起重吊装工程安全技术规范》（</w:t>
            </w:r>
            <w:r>
              <w:rPr>
                <w:rFonts w:eastAsia="方正仿宋_GBK"/>
                <w:sz w:val="24"/>
                <w:szCs w:val="24"/>
              </w:rPr>
              <w:t>JGJ 276-2012</w:t>
            </w:r>
            <w:r>
              <w:rPr>
                <w:rFonts w:hint="eastAsia" w:eastAsia="方正仿宋_GBK"/>
                <w:sz w:val="24"/>
                <w:szCs w:val="24"/>
              </w:rPr>
              <w:t>）第</w:t>
            </w:r>
            <w:r>
              <w:rPr>
                <w:rFonts w:eastAsia="方正仿宋_GBK"/>
                <w:sz w:val="24"/>
                <w:szCs w:val="24"/>
              </w:rPr>
              <w:t>3.0.13</w:t>
            </w:r>
            <w:r>
              <w:rPr>
                <w:rFonts w:hint="eastAsia" w:eastAsia="方正仿宋_GBK"/>
                <w:sz w:val="24"/>
                <w:szCs w:val="24"/>
              </w:rPr>
              <w:t>条、第</w:t>
            </w:r>
            <w:r>
              <w:rPr>
                <w:rFonts w:eastAsia="方正仿宋_GBK"/>
                <w:sz w:val="24"/>
                <w:szCs w:val="24"/>
              </w:rPr>
              <w:t>3.0.17</w:t>
            </w:r>
            <w:r>
              <w:rPr>
                <w:rFonts w:hint="eastAsia" w:eastAsia="方正仿宋_GBK"/>
                <w:sz w:val="24"/>
                <w:szCs w:val="24"/>
              </w:rPr>
              <w:t>条、第</w:t>
            </w:r>
            <w:r>
              <w:rPr>
                <w:rFonts w:eastAsia="方正仿宋_GBK"/>
                <w:sz w:val="24"/>
                <w:szCs w:val="24"/>
              </w:rPr>
              <w:t>3.0.18</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26</w:t>
            </w:r>
          </w:p>
        </w:tc>
        <w:tc>
          <w:tcPr>
            <w:tcW w:w="1090" w:type="dxa"/>
            <w:vMerge w:val="continue"/>
            <w:noWrap w:val="0"/>
            <w:vAlign w:val="center"/>
          </w:tcPr>
          <w:p>
            <w:pPr>
              <w:spacing w:line="240" w:lineRule="exact"/>
              <w:ind w:right="-107" w:rightChars="-51"/>
              <w:rPr>
                <w:rFonts w:ascii="方正仿宋_GBK" w:hAnsi="方正楷体_GBK" w:eastAsia="方正仿宋_GBK"/>
                <w:sz w:val="24"/>
                <w:szCs w:val="24"/>
              </w:rPr>
            </w:pP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维修、保养或检查清理搅拌系统、供料系绕，未封闭下料门的；或未切断电源的；或未锁定安全保护装置的；或未悬挂“严禁合闸”安全警示标志的；或未派专人看守的</w:t>
            </w:r>
          </w:p>
        </w:tc>
        <w:tc>
          <w:tcPr>
            <w:tcW w:w="3693" w:type="dxa"/>
            <w:noWrap w:val="0"/>
            <w:vAlign w:val="center"/>
          </w:tcPr>
          <w:p>
            <w:pPr>
              <w:spacing w:line="240" w:lineRule="exact"/>
              <w:ind w:right="-107" w:rightChars="-51"/>
              <w:rPr>
                <w:rFonts w:eastAsia="方正仿宋_GBK"/>
                <w:sz w:val="24"/>
                <w:szCs w:val="24"/>
              </w:rPr>
            </w:pPr>
            <w:r>
              <w:rPr>
                <w:rFonts w:hint="eastAsia" w:eastAsia="方正仿宋_GBK"/>
                <w:sz w:val="24"/>
                <w:szCs w:val="24"/>
              </w:rPr>
              <w:t>《公路工程施工安全技术规范》（</w:t>
            </w:r>
            <w:r>
              <w:rPr>
                <w:rFonts w:eastAsia="方正仿宋_GBK"/>
                <w:sz w:val="24"/>
                <w:szCs w:val="24"/>
              </w:rPr>
              <w:t>JTG F90-2015</w:t>
            </w:r>
            <w:r>
              <w:rPr>
                <w:rFonts w:hint="eastAsia" w:eastAsia="方正仿宋_GBK"/>
                <w:sz w:val="24"/>
                <w:szCs w:val="24"/>
              </w:rPr>
              <w:t>）第</w:t>
            </w:r>
            <w:r>
              <w:rPr>
                <w:rFonts w:eastAsia="方正仿宋_GBK"/>
                <w:sz w:val="24"/>
                <w:szCs w:val="24"/>
              </w:rPr>
              <w:t>5.4.2</w:t>
            </w:r>
            <w:r>
              <w:rPr>
                <w:rFonts w:hint="eastAsia" w:eastAsia="方正仿宋_GBK"/>
                <w:sz w:val="24"/>
                <w:szCs w:val="24"/>
              </w:rPr>
              <w:t>条</w:t>
            </w:r>
          </w:p>
          <w:p>
            <w:pPr>
              <w:spacing w:line="240" w:lineRule="exact"/>
              <w:ind w:right="-107" w:rightChars="-51"/>
              <w:rPr>
                <w:rFonts w:eastAsia="方正仿宋_GBK"/>
                <w:sz w:val="24"/>
                <w:szCs w:val="24"/>
              </w:rPr>
            </w:pPr>
            <w:r>
              <w:rPr>
                <w:rFonts w:hint="eastAsia" w:eastAsia="方正仿宋_GBK"/>
                <w:sz w:val="24"/>
                <w:szCs w:val="24"/>
              </w:rPr>
              <w:t>《水运工程施工安全防护技术规范》（</w:t>
            </w:r>
            <w:r>
              <w:rPr>
                <w:rFonts w:eastAsia="方正仿宋_GBK"/>
                <w:sz w:val="24"/>
                <w:szCs w:val="24"/>
              </w:rPr>
              <w:t>JTS205-1-2008</w:t>
            </w:r>
            <w:r>
              <w:rPr>
                <w:rFonts w:hint="eastAsia" w:eastAsia="方正仿宋_GBK"/>
                <w:sz w:val="24"/>
                <w:szCs w:val="24"/>
              </w:rPr>
              <w:t>）第</w:t>
            </w:r>
            <w:r>
              <w:rPr>
                <w:rFonts w:eastAsia="方正仿宋_GBK"/>
                <w:sz w:val="24"/>
                <w:szCs w:val="24"/>
              </w:rPr>
              <w:t>5.5.3</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27</w:t>
            </w:r>
          </w:p>
        </w:tc>
        <w:tc>
          <w:tcPr>
            <w:tcW w:w="1090" w:type="dxa"/>
            <w:vMerge w:val="continue"/>
            <w:noWrap w:val="0"/>
            <w:vAlign w:val="center"/>
          </w:tcPr>
          <w:p>
            <w:pPr>
              <w:spacing w:line="240" w:lineRule="exact"/>
              <w:ind w:right="-107" w:rightChars="-51"/>
              <w:rPr>
                <w:rFonts w:ascii="方正仿宋_GBK" w:hAnsi="方正楷体_GBK" w:eastAsia="方正仿宋_GBK"/>
                <w:sz w:val="24"/>
                <w:szCs w:val="24"/>
              </w:rPr>
            </w:pP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爆破作业未设警戒区或警戒人员或警戒船的；或起爆前未撤出人员的；或未按规定发出声、光等警示信号的</w:t>
            </w:r>
          </w:p>
        </w:tc>
        <w:tc>
          <w:tcPr>
            <w:tcW w:w="3693" w:type="dxa"/>
            <w:noWrap w:val="0"/>
            <w:vAlign w:val="center"/>
          </w:tcPr>
          <w:p>
            <w:pPr>
              <w:spacing w:line="240" w:lineRule="exact"/>
              <w:ind w:right="-107" w:rightChars="-51"/>
              <w:rPr>
                <w:rFonts w:eastAsia="方正仿宋_GBK"/>
                <w:sz w:val="24"/>
                <w:szCs w:val="24"/>
              </w:rPr>
            </w:pPr>
            <w:r>
              <w:rPr>
                <w:rFonts w:hint="eastAsia" w:eastAsia="方正仿宋_GBK"/>
                <w:sz w:val="24"/>
                <w:szCs w:val="24"/>
              </w:rPr>
              <w:t>《公路工程施工安全技术规范》（</w:t>
            </w:r>
            <w:r>
              <w:rPr>
                <w:rFonts w:eastAsia="方正仿宋_GBK"/>
                <w:sz w:val="24"/>
                <w:szCs w:val="24"/>
              </w:rPr>
              <w:t>JTG F90-2015</w:t>
            </w:r>
            <w:r>
              <w:rPr>
                <w:rFonts w:hint="eastAsia" w:eastAsia="方正仿宋_GBK"/>
                <w:sz w:val="24"/>
                <w:szCs w:val="24"/>
              </w:rPr>
              <w:t>）第</w:t>
            </w:r>
            <w:r>
              <w:rPr>
                <w:rFonts w:eastAsia="方正仿宋_GBK"/>
                <w:sz w:val="24"/>
                <w:szCs w:val="24"/>
              </w:rPr>
              <w:t>5.10.6</w:t>
            </w:r>
            <w:r>
              <w:rPr>
                <w:rFonts w:hint="eastAsia" w:eastAsia="方正仿宋_GBK"/>
                <w:sz w:val="24"/>
                <w:szCs w:val="24"/>
              </w:rPr>
              <w:t>条</w:t>
            </w:r>
          </w:p>
          <w:p>
            <w:pPr>
              <w:spacing w:line="240" w:lineRule="exact"/>
              <w:ind w:right="-107" w:rightChars="-51"/>
              <w:rPr>
                <w:rFonts w:eastAsia="方正仿宋_GBK"/>
                <w:sz w:val="24"/>
                <w:szCs w:val="24"/>
              </w:rPr>
            </w:pPr>
            <w:r>
              <w:rPr>
                <w:rFonts w:hint="eastAsia" w:eastAsia="方正仿宋_GBK"/>
                <w:sz w:val="24"/>
                <w:szCs w:val="24"/>
              </w:rPr>
              <w:t>《水运工程施工安全防护技术规范》（</w:t>
            </w:r>
            <w:r>
              <w:rPr>
                <w:rFonts w:eastAsia="方正仿宋_GBK"/>
                <w:sz w:val="24"/>
                <w:szCs w:val="24"/>
              </w:rPr>
              <w:t>JTS205-1-2008</w:t>
            </w:r>
            <w:r>
              <w:rPr>
                <w:rFonts w:hint="eastAsia" w:eastAsia="方正仿宋_GBK"/>
                <w:sz w:val="24"/>
                <w:szCs w:val="24"/>
              </w:rPr>
              <w:t>）第</w:t>
            </w:r>
            <w:r>
              <w:rPr>
                <w:rFonts w:eastAsia="方正仿宋_GBK"/>
                <w:sz w:val="24"/>
                <w:szCs w:val="24"/>
              </w:rPr>
              <w:t>5.12.5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28</w:t>
            </w:r>
          </w:p>
        </w:tc>
        <w:tc>
          <w:tcPr>
            <w:tcW w:w="1090" w:type="dxa"/>
            <w:vMerge w:val="continue"/>
            <w:noWrap w:val="0"/>
            <w:vAlign w:val="center"/>
          </w:tcPr>
          <w:p>
            <w:pPr>
              <w:spacing w:line="240" w:lineRule="exact"/>
              <w:ind w:right="-107" w:rightChars="-51"/>
              <w:rPr>
                <w:rFonts w:ascii="方正仿宋_GBK" w:hAnsi="方正楷体_GBK" w:eastAsia="方正仿宋_GBK"/>
                <w:sz w:val="24"/>
                <w:szCs w:val="24"/>
              </w:rPr>
            </w:pP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冬季施工，办公、生活区使用电炉、碘钨灯等取暖的；或煤炭炉取暖未采取防火、防一氧化碳中毒的措施的</w:t>
            </w:r>
          </w:p>
        </w:tc>
        <w:tc>
          <w:tcPr>
            <w:tcW w:w="3693" w:type="dxa"/>
            <w:noWrap w:val="0"/>
            <w:vAlign w:val="center"/>
          </w:tcPr>
          <w:p>
            <w:pPr>
              <w:spacing w:line="240" w:lineRule="exact"/>
              <w:ind w:right="-107" w:rightChars="-51"/>
              <w:rPr>
                <w:rFonts w:eastAsia="方正仿宋_GBK"/>
                <w:sz w:val="24"/>
                <w:szCs w:val="24"/>
              </w:rPr>
            </w:pPr>
            <w:r>
              <w:rPr>
                <w:rFonts w:hint="eastAsia" w:eastAsia="方正仿宋_GBK"/>
                <w:sz w:val="24"/>
                <w:szCs w:val="24"/>
              </w:rPr>
              <w:t>《公路工程施工安全技术规范》（</w:t>
            </w:r>
            <w:r>
              <w:rPr>
                <w:rFonts w:eastAsia="方正仿宋_GBK"/>
                <w:sz w:val="24"/>
                <w:szCs w:val="24"/>
              </w:rPr>
              <w:t>JTG F90-2015</w:t>
            </w:r>
            <w:r>
              <w:rPr>
                <w:rFonts w:hint="eastAsia" w:eastAsia="方正仿宋_GBK"/>
                <w:sz w:val="24"/>
                <w:szCs w:val="24"/>
              </w:rPr>
              <w:t>）第</w:t>
            </w:r>
            <w:r>
              <w:rPr>
                <w:rFonts w:eastAsia="方正仿宋_GBK"/>
                <w:sz w:val="24"/>
                <w:szCs w:val="24"/>
              </w:rPr>
              <w:t>12.2.3</w:t>
            </w:r>
            <w:r>
              <w:rPr>
                <w:rFonts w:hint="eastAsia" w:eastAsia="方正仿宋_GBK"/>
                <w:sz w:val="24"/>
                <w:szCs w:val="24"/>
              </w:rPr>
              <w:t>条</w:t>
            </w:r>
          </w:p>
          <w:p>
            <w:pPr>
              <w:spacing w:line="240" w:lineRule="exact"/>
              <w:ind w:right="-107" w:rightChars="-51"/>
              <w:rPr>
                <w:rFonts w:eastAsia="方正仿宋_GBK"/>
                <w:sz w:val="24"/>
                <w:szCs w:val="24"/>
              </w:rPr>
            </w:pPr>
            <w:r>
              <w:rPr>
                <w:rFonts w:hint="eastAsia" w:eastAsia="方正仿宋_GBK"/>
                <w:sz w:val="24"/>
                <w:szCs w:val="24"/>
              </w:rPr>
              <w:t>《水运工程施工安全防护技术规范》（</w:t>
            </w:r>
            <w:r>
              <w:rPr>
                <w:rFonts w:eastAsia="方正仿宋_GBK"/>
                <w:sz w:val="24"/>
                <w:szCs w:val="24"/>
              </w:rPr>
              <w:t>JTS205-1-2008</w:t>
            </w:r>
            <w:r>
              <w:rPr>
                <w:rFonts w:hint="eastAsia" w:eastAsia="方正仿宋_GBK"/>
                <w:sz w:val="24"/>
                <w:szCs w:val="24"/>
              </w:rPr>
              <w:t>）第</w:t>
            </w:r>
            <w:r>
              <w:rPr>
                <w:rFonts w:eastAsia="方正仿宋_GBK"/>
                <w:sz w:val="24"/>
                <w:szCs w:val="24"/>
              </w:rPr>
              <w:t>11.2.2</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29</w:t>
            </w:r>
          </w:p>
        </w:tc>
        <w:tc>
          <w:tcPr>
            <w:tcW w:w="1090" w:type="dxa"/>
            <w:vMerge w:val="continue"/>
            <w:noWrap w:val="0"/>
            <w:vAlign w:val="center"/>
          </w:tcPr>
          <w:p>
            <w:pPr>
              <w:spacing w:line="240" w:lineRule="exact"/>
              <w:ind w:right="-107" w:rightChars="-51"/>
              <w:rPr>
                <w:rFonts w:ascii="方正仿宋_GBK" w:hAnsi="方正楷体_GBK" w:eastAsia="方正仿宋_GBK"/>
                <w:sz w:val="24"/>
                <w:szCs w:val="24"/>
              </w:rPr>
            </w:pP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人工开挖支挡抗滑桩施工，未持续通风的；或未配置气体浓度检测仪的；或孔内爆破作业，爆破前，相邻桩孔人员未撤离的</w:t>
            </w:r>
          </w:p>
        </w:tc>
        <w:tc>
          <w:tcPr>
            <w:tcW w:w="3693" w:type="dxa"/>
            <w:noWrap w:val="0"/>
            <w:vAlign w:val="center"/>
          </w:tcPr>
          <w:p>
            <w:pPr>
              <w:spacing w:line="240" w:lineRule="exact"/>
              <w:ind w:right="-107" w:rightChars="-51"/>
              <w:rPr>
                <w:rFonts w:eastAsia="方正仿宋_GBK"/>
                <w:sz w:val="24"/>
                <w:szCs w:val="24"/>
              </w:rPr>
            </w:pPr>
            <w:r>
              <w:rPr>
                <w:rFonts w:hint="eastAsia" w:eastAsia="方正仿宋_GBK"/>
                <w:sz w:val="24"/>
                <w:szCs w:val="24"/>
              </w:rPr>
              <w:t>《公路工程施工安全技术规范》（</w:t>
            </w:r>
            <w:r>
              <w:rPr>
                <w:rFonts w:eastAsia="方正仿宋_GBK"/>
                <w:sz w:val="24"/>
                <w:szCs w:val="24"/>
              </w:rPr>
              <w:t>JTG F90-2015</w:t>
            </w:r>
            <w:r>
              <w:rPr>
                <w:rFonts w:hint="eastAsia" w:eastAsia="方正仿宋_GBK"/>
                <w:sz w:val="24"/>
                <w:szCs w:val="24"/>
              </w:rPr>
              <w:t>）第</w:t>
            </w:r>
            <w:r>
              <w:rPr>
                <w:rFonts w:eastAsia="方正仿宋_GBK"/>
                <w:sz w:val="24"/>
                <w:szCs w:val="24"/>
              </w:rPr>
              <w:t>6.5.3</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30</w:t>
            </w:r>
          </w:p>
        </w:tc>
        <w:tc>
          <w:tcPr>
            <w:tcW w:w="1090" w:type="dxa"/>
            <w:vMerge w:val="continue"/>
            <w:noWrap w:val="0"/>
            <w:vAlign w:val="center"/>
          </w:tcPr>
          <w:p>
            <w:pPr>
              <w:spacing w:line="240" w:lineRule="exact"/>
              <w:ind w:right="-107" w:rightChars="-51"/>
              <w:rPr>
                <w:rFonts w:ascii="方正仿宋_GBK" w:hAnsi="方正楷体_GBK" w:eastAsia="方正仿宋_GBK"/>
                <w:sz w:val="24"/>
                <w:szCs w:val="24"/>
              </w:rPr>
            </w:pP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公路工程施工，工程货运车辆运送人员的</w:t>
            </w:r>
          </w:p>
        </w:tc>
        <w:tc>
          <w:tcPr>
            <w:tcW w:w="3693" w:type="dxa"/>
            <w:noWrap w:val="0"/>
            <w:vAlign w:val="center"/>
          </w:tcPr>
          <w:p>
            <w:pPr>
              <w:spacing w:line="240" w:lineRule="exact"/>
              <w:ind w:right="-107" w:rightChars="-51"/>
              <w:rPr>
                <w:rFonts w:eastAsia="方正仿宋_GBK"/>
                <w:sz w:val="24"/>
                <w:szCs w:val="24"/>
              </w:rPr>
            </w:pPr>
            <w:r>
              <w:rPr>
                <w:rFonts w:hint="eastAsia" w:eastAsia="方正仿宋_GBK"/>
                <w:sz w:val="24"/>
                <w:szCs w:val="24"/>
              </w:rPr>
              <w:t>《公路工程施工安全技术规范》（</w:t>
            </w:r>
            <w:r>
              <w:rPr>
                <w:rFonts w:eastAsia="方正仿宋_GBK"/>
                <w:sz w:val="24"/>
                <w:szCs w:val="24"/>
              </w:rPr>
              <w:t>JTG F90-2015</w:t>
            </w:r>
            <w:r>
              <w:rPr>
                <w:rFonts w:hint="eastAsia" w:eastAsia="方正仿宋_GBK"/>
                <w:sz w:val="24"/>
                <w:szCs w:val="24"/>
              </w:rPr>
              <w:t>）第</w:t>
            </w:r>
            <w:r>
              <w:rPr>
                <w:rFonts w:eastAsia="方正仿宋_GBK"/>
                <w:sz w:val="24"/>
                <w:szCs w:val="24"/>
              </w:rPr>
              <w:t>3.0.15</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31</w:t>
            </w:r>
          </w:p>
        </w:tc>
        <w:tc>
          <w:tcPr>
            <w:tcW w:w="1090" w:type="dxa"/>
            <w:vMerge w:val="continue"/>
            <w:noWrap w:val="0"/>
            <w:vAlign w:val="center"/>
          </w:tcPr>
          <w:p>
            <w:pPr>
              <w:spacing w:line="240" w:lineRule="exact"/>
              <w:ind w:right="-107" w:rightChars="-51"/>
              <w:rPr>
                <w:rFonts w:ascii="方正仿宋_GBK" w:hAnsi="方正楷体_GBK" w:eastAsia="方正仿宋_GBK"/>
                <w:sz w:val="24"/>
                <w:szCs w:val="24"/>
              </w:rPr>
            </w:pP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公路工程施工，雨天露天电焊作业的；或潮湿区域作业人员未在干燥绝缘物体上焊接作业的</w:t>
            </w:r>
          </w:p>
        </w:tc>
        <w:tc>
          <w:tcPr>
            <w:tcW w:w="3693" w:type="dxa"/>
            <w:noWrap w:val="0"/>
            <w:vAlign w:val="center"/>
          </w:tcPr>
          <w:p>
            <w:pPr>
              <w:spacing w:line="240" w:lineRule="exact"/>
              <w:ind w:right="-107" w:rightChars="-51"/>
              <w:rPr>
                <w:rFonts w:eastAsia="方正仿宋_GBK"/>
                <w:sz w:val="24"/>
                <w:szCs w:val="24"/>
              </w:rPr>
            </w:pPr>
            <w:r>
              <w:rPr>
                <w:rFonts w:hint="eastAsia" w:eastAsia="方正仿宋_GBK"/>
                <w:sz w:val="24"/>
                <w:szCs w:val="24"/>
              </w:rPr>
              <w:t>《公路工程施工安全技术规范》（</w:t>
            </w:r>
            <w:r>
              <w:rPr>
                <w:rFonts w:eastAsia="方正仿宋_GBK"/>
                <w:sz w:val="24"/>
                <w:szCs w:val="24"/>
              </w:rPr>
              <w:t>JTG F90-2015</w:t>
            </w:r>
            <w:r>
              <w:rPr>
                <w:rFonts w:hint="eastAsia" w:eastAsia="方正仿宋_GBK"/>
                <w:sz w:val="24"/>
                <w:szCs w:val="24"/>
              </w:rPr>
              <w:t>）第</w:t>
            </w:r>
            <w:r>
              <w:rPr>
                <w:rFonts w:eastAsia="方正仿宋_GBK"/>
                <w:sz w:val="24"/>
                <w:szCs w:val="24"/>
              </w:rPr>
              <w:t>5.5.15</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32</w:t>
            </w:r>
          </w:p>
        </w:tc>
        <w:tc>
          <w:tcPr>
            <w:tcW w:w="1090" w:type="dxa"/>
            <w:vMerge w:val="continue"/>
            <w:noWrap w:val="0"/>
            <w:vAlign w:val="center"/>
          </w:tcPr>
          <w:p>
            <w:pPr>
              <w:spacing w:line="240" w:lineRule="exact"/>
              <w:ind w:right="-107" w:rightChars="-51"/>
              <w:rPr>
                <w:rFonts w:ascii="方正仿宋_GBK" w:hAnsi="方正楷体_GBK" w:eastAsia="方正仿宋_GBK"/>
                <w:sz w:val="24"/>
                <w:szCs w:val="24"/>
              </w:rPr>
            </w:pP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公路工程施工，吊篮和工作台的脚手板未铺平绑牢，或出现探头板的</w:t>
            </w:r>
          </w:p>
        </w:tc>
        <w:tc>
          <w:tcPr>
            <w:tcW w:w="3693" w:type="dxa"/>
            <w:noWrap w:val="0"/>
            <w:vAlign w:val="center"/>
          </w:tcPr>
          <w:p>
            <w:pPr>
              <w:spacing w:line="240" w:lineRule="exact"/>
              <w:ind w:right="-107" w:rightChars="-51"/>
              <w:rPr>
                <w:rFonts w:eastAsia="方正仿宋_GBK"/>
                <w:sz w:val="24"/>
                <w:szCs w:val="24"/>
              </w:rPr>
            </w:pPr>
            <w:r>
              <w:rPr>
                <w:rFonts w:hint="eastAsia" w:eastAsia="方正仿宋_GBK"/>
                <w:sz w:val="24"/>
                <w:szCs w:val="24"/>
              </w:rPr>
              <w:t>《公路工程施工安全技术规范》（</w:t>
            </w:r>
            <w:r>
              <w:rPr>
                <w:rFonts w:eastAsia="方正仿宋_GBK"/>
                <w:sz w:val="24"/>
                <w:szCs w:val="24"/>
              </w:rPr>
              <w:t>JTG F90-2015</w:t>
            </w:r>
            <w:r>
              <w:rPr>
                <w:rFonts w:hint="eastAsia" w:eastAsia="方正仿宋_GBK"/>
                <w:sz w:val="24"/>
                <w:szCs w:val="24"/>
              </w:rPr>
              <w:t>）第</w:t>
            </w:r>
            <w:r>
              <w:rPr>
                <w:rFonts w:eastAsia="方正仿宋_GBK"/>
                <w:sz w:val="24"/>
                <w:szCs w:val="24"/>
              </w:rPr>
              <w:t>5.7.20</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33</w:t>
            </w:r>
          </w:p>
        </w:tc>
        <w:tc>
          <w:tcPr>
            <w:tcW w:w="1090" w:type="dxa"/>
            <w:vMerge w:val="continue"/>
            <w:noWrap w:val="0"/>
            <w:vAlign w:val="center"/>
          </w:tcPr>
          <w:p>
            <w:pPr>
              <w:spacing w:line="240" w:lineRule="exact"/>
              <w:ind w:right="-107" w:rightChars="-51"/>
              <w:rPr>
                <w:rFonts w:ascii="方正仿宋_GBK" w:hAnsi="方正楷体_GBK" w:eastAsia="方正仿宋_GBK"/>
                <w:sz w:val="24"/>
                <w:szCs w:val="24"/>
              </w:rPr>
            </w:pP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公路工程施工，脚手架拆除作业，未由上而下逐层进行的；或存在上下同时作业的；或连墙件未随脚手架逐层拆除或提前拆除的</w:t>
            </w:r>
          </w:p>
        </w:tc>
        <w:tc>
          <w:tcPr>
            <w:tcW w:w="3693" w:type="dxa"/>
            <w:noWrap w:val="0"/>
            <w:vAlign w:val="center"/>
          </w:tcPr>
          <w:p>
            <w:pPr>
              <w:spacing w:line="240" w:lineRule="exact"/>
              <w:ind w:right="-107" w:rightChars="-51"/>
              <w:rPr>
                <w:rFonts w:eastAsia="方正仿宋_GBK"/>
                <w:sz w:val="24"/>
                <w:szCs w:val="24"/>
              </w:rPr>
            </w:pPr>
            <w:r>
              <w:rPr>
                <w:rFonts w:hint="eastAsia" w:eastAsia="方正仿宋_GBK"/>
                <w:sz w:val="24"/>
                <w:szCs w:val="24"/>
              </w:rPr>
              <w:t>《公路工程施工安全技术规范》（</w:t>
            </w:r>
            <w:r>
              <w:rPr>
                <w:rFonts w:eastAsia="方正仿宋_GBK"/>
                <w:sz w:val="24"/>
                <w:szCs w:val="24"/>
              </w:rPr>
              <w:t>JTG F90-2015</w:t>
            </w:r>
            <w:r>
              <w:rPr>
                <w:rFonts w:hint="eastAsia" w:eastAsia="方正仿宋_GBK"/>
                <w:sz w:val="24"/>
                <w:szCs w:val="24"/>
              </w:rPr>
              <w:t>）第</w:t>
            </w:r>
            <w:r>
              <w:rPr>
                <w:rFonts w:eastAsia="方正仿宋_GBK"/>
                <w:sz w:val="24"/>
                <w:szCs w:val="24"/>
              </w:rPr>
              <w:t>5.7.29</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34</w:t>
            </w:r>
          </w:p>
        </w:tc>
        <w:tc>
          <w:tcPr>
            <w:tcW w:w="1090" w:type="dxa"/>
            <w:vMerge w:val="continue"/>
            <w:noWrap w:val="0"/>
            <w:vAlign w:val="center"/>
          </w:tcPr>
          <w:p>
            <w:pPr>
              <w:spacing w:line="240" w:lineRule="exact"/>
              <w:ind w:right="-107" w:rightChars="-51"/>
              <w:rPr>
                <w:rFonts w:ascii="方正仿宋_GBK" w:hAnsi="方正楷体_GBK" w:eastAsia="方正仿宋_GBK"/>
                <w:sz w:val="24"/>
                <w:szCs w:val="24"/>
              </w:rPr>
            </w:pP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公路工程悬索桥施工，猫道架设，承重索及其他钢丝绳投入使用前未严格验收的；或使用断丝、变形、锈蚀等超出相应规定的钢丝绳的</w:t>
            </w:r>
          </w:p>
        </w:tc>
        <w:tc>
          <w:tcPr>
            <w:tcW w:w="3693" w:type="dxa"/>
            <w:noWrap w:val="0"/>
            <w:vAlign w:val="center"/>
          </w:tcPr>
          <w:p>
            <w:pPr>
              <w:spacing w:line="240" w:lineRule="exact"/>
              <w:ind w:right="-107" w:rightChars="-51"/>
              <w:rPr>
                <w:rFonts w:eastAsia="方正仿宋_GBK"/>
                <w:sz w:val="24"/>
                <w:szCs w:val="24"/>
              </w:rPr>
            </w:pPr>
            <w:r>
              <w:rPr>
                <w:rFonts w:hint="eastAsia" w:eastAsia="方正仿宋_GBK"/>
                <w:sz w:val="24"/>
                <w:szCs w:val="24"/>
              </w:rPr>
              <w:t>《公路工程施工安全技术规范》（</w:t>
            </w:r>
            <w:r>
              <w:rPr>
                <w:rFonts w:eastAsia="方正仿宋_GBK"/>
                <w:sz w:val="24"/>
                <w:szCs w:val="24"/>
              </w:rPr>
              <w:t>JGJF90-2015</w:t>
            </w:r>
            <w:r>
              <w:rPr>
                <w:rFonts w:hint="eastAsia" w:eastAsia="方正仿宋_GBK"/>
                <w:sz w:val="24"/>
                <w:szCs w:val="24"/>
              </w:rPr>
              <w:t>）第</w:t>
            </w:r>
            <w:r>
              <w:rPr>
                <w:rFonts w:eastAsia="方正仿宋_GBK"/>
                <w:sz w:val="24"/>
                <w:szCs w:val="24"/>
              </w:rPr>
              <w:t>8.14.8</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35</w:t>
            </w:r>
          </w:p>
        </w:tc>
        <w:tc>
          <w:tcPr>
            <w:tcW w:w="1090" w:type="dxa"/>
            <w:vMerge w:val="continue"/>
            <w:noWrap w:val="0"/>
            <w:vAlign w:val="center"/>
          </w:tcPr>
          <w:p>
            <w:pPr>
              <w:spacing w:line="240" w:lineRule="exact"/>
              <w:ind w:right="-107" w:rightChars="-51"/>
              <w:rPr>
                <w:rFonts w:ascii="方正仿宋_GBK" w:hAnsi="方正楷体_GBK" w:eastAsia="方正仿宋_GBK"/>
                <w:sz w:val="24"/>
                <w:szCs w:val="24"/>
              </w:rPr>
            </w:pP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公路工程施工，隧道内存放汽油、柴油、煤油、变压器油、雷管、炸药等易燃易爆物品的</w:t>
            </w:r>
          </w:p>
        </w:tc>
        <w:tc>
          <w:tcPr>
            <w:tcW w:w="3693" w:type="dxa"/>
            <w:noWrap w:val="0"/>
            <w:vAlign w:val="center"/>
          </w:tcPr>
          <w:p>
            <w:pPr>
              <w:spacing w:line="240" w:lineRule="exact"/>
              <w:ind w:right="-107" w:rightChars="-51"/>
              <w:rPr>
                <w:rFonts w:eastAsia="方正仿宋_GBK"/>
                <w:sz w:val="24"/>
                <w:szCs w:val="24"/>
              </w:rPr>
            </w:pPr>
            <w:r>
              <w:rPr>
                <w:rFonts w:hint="eastAsia" w:eastAsia="方正仿宋_GBK"/>
                <w:sz w:val="24"/>
                <w:szCs w:val="24"/>
              </w:rPr>
              <w:t>《公路工程施工安全技术规范》（</w:t>
            </w:r>
            <w:r>
              <w:rPr>
                <w:rFonts w:eastAsia="方正仿宋_GBK"/>
                <w:sz w:val="24"/>
                <w:szCs w:val="24"/>
              </w:rPr>
              <w:t>JTG F90-2015</w:t>
            </w:r>
            <w:r>
              <w:rPr>
                <w:rFonts w:hint="eastAsia" w:eastAsia="方正仿宋_GBK"/>
                <w:sz w:val="24"/>
                <w:szCs w:val="24"/>
              </w:rPr>
              <w:t>）第</w:t>
            </w:r>
            <w:r>
              <w:rPr>
                <w:rFonts w:eastAsia="方正仿宋_GBK"/>
                <w:sz w:val="24"/>
                <w:szCs w:val="24"/>
              </w:rPr>
              <w:t>9.1.17</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36</w:t>
            </w:r>
          </w:p>
        </w:tc>
        <w:tc>
          <w:tcPr>
            <w:tcW w:w="1090" w:type="dxa"/>
            <w:vMerge w:val="continue"/>
            <w:noWrap w:val="0"/>
            <w:vAlign w:val="center"/>
          </w:tcPr>
          <w:p>
            <w:pPr>
              <w:spacing w:line="240" w:lineRule="exact"/>
              <w:ind w:right="-107" w:rightChars="-51"/>
              <w:rPr>
                <w:rFonts w:ascii="方正仿宋_GBK" w:hAnsi="方正楷体_GBK" w:eastAsia="方正仿宋_GBK"/>
                <w:sz w:val="24"/>
                <w:szCs w:val="24"/>
              </w:rPr>
            </w:pP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水运工程施工，工程开工前</w:t>
            </w:r>
            <w:r>
              <w:rPr>
                <w:rFonts w:eastAsia="方正仿宋_GBK"/>
                <w:sz w:val="24"/>
                <w:szCs w:val="24"/>
              </w:rPr>
              <w:t>,</w:t>
            </w:r>
            <w:r>
              <w:rPr>
                <w:rFonts w:hint="eastAsia" w:eastAsia="方正仿宋_GBK"/>
                <w:sz w:val="24"/>
                <w:szCs w:val="24"/>
              </w:rPr>
              <w:t>单位、分部和分项工程向参加施工的人员进行安全技术交底，未履行签认手续的</w:t>
            </w:r>
          </w:p>
        </w:tc>
        <w:tc>
          <w:tcPr>
            <w:tcW w:w="3693" w:type="dxa"/>
            <w:noWrap w:val="0"/>
            <w:vAlign w:val="center"/>
          </w:tcPr>
          <w:p>
            <w:pPr>
              <w:spacing w:line="240" w:lineRule="exact"/>
              <w:ind w:right="-107" w:rightChars="-51"/>
              <w:rPr>
                <w:rFonts w:eastAsia="方正仿宋_GBK"/>
                <w:sz w:val="24"/>
                <w:szCs w:val="24"/>
              </w:rPr>
            </w:pPr>
            <w:r>
              <w:rPr>
                <w:rFonts w:hint="eastAsia" w:eastAsia="方正仿宋_GBK"/>
                <w:sz w:val="24"/>
                <w:szCs w:val="24"/>
              </w:rPr>
              <w:t>《水运工程施工安全防护技术规范》（</w:t>
            </w:r>
            <w:r>
              <w:rPr>
                <w:rFonts w:eastAsia="方正仿宋_GBK"/>
                <w:sz w:val="24"/>
                <w:szCs w:val="24"/>
              </w:rPr>
              <w:t>JTS205-1-2008</w:t>
            </w:r>
            <w:r>
              <w:rPr>
                <w:rFonts w:hint="eastAsia" w:eastAsia="方正仿宋_GBK"/>
                <w:sz w:val="24"/>
                <w:szCs w:val="24"/>
              </w:rPr>
              <w:t>）第</w:t>
            </w:r>
            <w:r>
              <w:rPr>
                <w:rFonts w:eastAsia="方正仿宋_GBK"/>
                <w:sz w:val="24"/>
                <w:szCs w:val="24"/>
              </w:rPr>
              <w:t>4.8.1</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37</w:t>
            </w:r>
          </w:p>
        </w:tc>
        <w:tc>
          <w:tcPr>
            <w:tcW w:w="1090" w:type="dxa"/>
            <w:vMerge w:val="continue"/>
            <w:noWrap w:val="0"/>
            <w:vAlign w:val="center"/>
          </w:tcPr>
          <w:p>
            <w:pPr>
              <w:spacing w:line="240" w:lineRule="exact"/>
              <w:ind w:right="-107" w:rightChars="-51"/>
              <w:rPr>
                <w:rFonts w:ascii="方正仿宋_GBK" w:hAnsi="方正楷体_GBK" w:eastAsia="方正仿宋_GBK"/>
                <w:sz w:val="24"/>
                <w:szCs w:val="24"/>
              </w:rPr>
            </w:pP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水运工程施工，施工船舶无相应的有效证书的；或船员未持有与其岗位相适应的适任证书的；或从事潜水作业的人员未持有有效潜水员资格证书的</w:t>
            </w:r>
          </w:p>
        </w:tc>
        <w:tc>
          <w:tcPr>
            <w:tcW w:w="3693" w:type="dxa"/>
            <w:noWrap w:val="0"/>
            <w:vAlign w:val="center"/>
          </w:tcPr>
          <w:p>
            <w:pPr>
              <w:spacing w:line="240" w:lineRule="exact"/>
              <w:ind w:right="-107" w:rightChars="-51"/>
              <w:rPr>
                <w:rFonts w:eastAsia="方正仿宋_GBK"/>
                <w:sz w:val="24"/>
                <w:szCs w:val="24"/>
              </w:rPr>
            </w:pPr>
            <w:r>
              <w:rPr>
                <w:rFonts w:hint="eastAsia" w:eastAsia="方正仿宋_GBK"/>
                <w:sz w:val="24"/>
                <w:szCs w:val="24"/>
              </w:rPr>
              <w:t>《水运工程施工安全防护技术规范》（</w:t>
            </w:r>
            <w:r>
              <w:rPr>
                <w:rFonts w:eastAsia="方正仿宋_GBK"/>
                <w:sz w:val="24"/>
                <w:szCs w:val="24"/>
              </w:rPr>
              <w:t>JTS205-1-2008</w:t>
            </w:r>
            <w:r>
              <w:rPr>
                <w:rFonts w:hint="eastAsia" w:eastAsia="方正仿宋_GBK"/>
                <w:sz w:val="24"/>
                <w:szCs w:val="24"/>
              </w:rPr>
              <w:t>）第</w:t>
            </w:r>
            <w:r>
              <w:rPr>
                <w:rFonts w:eastAsia="方正仿宋_GBK"/>
                <w:sz w:val="24"/>
                <w:szCs w:val="24"/>
              </w:rPr>
              <w:t>5.1.2</w:t>
            </w:r>
            <w:r>
              <w:rPr>
                <w:rFonts w:hint="eastAsia" w:eastAsia="方正仿宋_GBK"/>
                <w:sz w:val="24"/>
                <w:szCs w:val="24"/>
              </w:rPr>
              <w:t>条、第</w:t>
            </w:r>
            <w:r>
              <w:rPr>
                <w:rFonts w:eastAsia="方正仿宋_GBK"/>
                <w:sz w:val="24"/>
                <w:szCs w:val="24"/>
              </w:rPr>
              <w:t>5.11.2</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38</w:t>
            </w:r>
          </w:p>
        </w:tc>
        <w:tc>
          <w:tcPr>
            <w:tcW w:w="1090" w:type="dxa"/>
            <w:vMerge w:val="continue"/>
            <w:noWrap w:val="0"/>
            <w:vAlign w:val="center"/>
          </w:tcPr>
          <w:p>
            <w:pPr>
              <w:spacing w:line="240" w:lineRule="exact"/>
              <w:ind w:right="-107" w:rightChars="-51"/>
              <w:rPr>
                <w:rFonts w:ascii="方正仿宋_GBK" w:hAnsi="方正楷体_GBK" w:eastAsia="方正仿宋_GBK"/>
                <w:sz w:val="24"/>
                <w:szCs w:val="24"/>
              </w:rPr>
            </w:pP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水运工程施工，氧气瓶或乙炔瓶使用钢绳、铁链直接捆绑或使用电磁吸盘等进行吊运的；或电焊、气割等明火作业点</w:t>
            </w:r>
            <w:r>
              <w:rPr>
                <w:rFonts w:eastAsia="方正仿宋_GBK"/>
                <w:sz w:val="24"/>
                <w:szCs w:val="24"/>
              </w:rPr>
              <w:t>10米</w:t>
            </w:r>
            <w:r>
              <w:rPr>
                <w:rFonts w:hint="eastAsia" w:eastAsia="方正仿宋_GBK"/>
                <w:sz w:val="24"/>
                <w:szCs w:val="24"/>
              </w:rPr>
              <w:t>范围内</w:t>
            </w:r>
            <w:r>
              <w:rPr>
                <w:rFonts w:eastAsia="方正仿宋_GBK"/>
                <w:sz w:val="24"/>
                <w:szCs w:val="24"/>
              </w:rPr>
              <w:t>,</w:t>
            </w:r>
            <w:r>
              <w:rPr>
                <w:rFonts w:hint="eastAsia" w:eastAsia="方正仿宋_GBK"/>
                <w:sz w:val="24"/>
                <w:szCs w:val="24"/>
              </w:rPr>
              <w:t>存放氧气瓶、乙炔瓶等易燃易爆物品或其他可燃危险物品的</w:t>
            </w:r>
          </w:p>
        </w:tc>
        <w:tc>
          <w:tcPr>
            <w:tcW w:w="3693" w:type="dxa"/>
            <w:noWrap w:val="0"/>
            <w:vAlign w:val="center"/>
          </w:tcPr>
          <w:p>
            <w:pPr>
              <w:spacing w:line="240" w:lineRule="exact"/>
              <w:ind w:right="-107" w:rightChars="-51"/>
              <w:rPr>
                <w:rFonts w:eastAsia="方正仿宋_GBK"/>
                <w:sz w:val="24"/>
                <w:szCs w:val="24"/>
              </w:rPr>
            </w:pPr>
            <w:r>
              <w:rPr>
                <w:rFonts w:hint="eastAsia" w:eastAsia="方正仿宋_GBK"/>
                <w:sz w:val="24"/>
                <w:szCs w:val="24"/>
              </w:rPr>
              <w:t>《水运工程施工安全防护技术规范》（</w:t>
            </w:r>
            <w:r>
              <w:rPr>
                <w:rFonts w:eastAsia="方正仿宋_GBK"/>
                <w:sz w:val="24"/>
                <w:szCs w:val="24"/>
              </w:rPr>
              <w:t>JTS205-1-2008</w:t>
            </w:r>
            <w:r>
              <w:rPr>
                <w:rFonts w:hint="eastAsia" w:eastAsia="方正仿宋_GBK"/>
                <w:sz w:val="24"/>
                <w:szCs w:val="24"/>
              </w:rPr>
              <w:t>）第</w:t>
            </w:r>
            <w:r>
              <w:rPr>
                <w:rFonts w:eastAsia="方正仿宋_GBK"/>
                <w:sz w:val="24"/>
                <w:szCs w:val="24"/>
              </w:rPr>
              <w:t>5.6.3</w:t>
            </w:r>
            <w:r>
              <w:rPr>
                <w:rFonts w:hint="eastAsia" w:eastAsia="方正仿宋_GBK"/>
                <w:sz w:val="24"/>
                <w:szCs w:val="24"/>
              </w:rPr>
              <w:t>条、第</w:t>
            </w:r>
            <w:r>
              <w:rPr>
                <w:rFonts w:eastAsia="方正仿宋_GBK"/>
                <w:sz w:val="24"/>
                <w:szCs w:val="24"/>
              </w:rPr>
              <w:t>5.6.5</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39</w:t>
            </w:r>
          </w:p>
        </w:tc>
        <w:tc>
          <w:tcPr>
            <w:tcW w:w="1090" w:type="dxa"/>
            <w:vMerge w:val="continue"/>
            <w:noWrap w:val="0"/>
            <w:vAlign w:val="center"/>
          </w:tcPr>
          <w:p>
            <w:pPr>
              <w:spacing w:line="240" w:lineRule="exact"/>
              <w:ind w:right="-107" w:rightChars="-51"/>
              <w:rPr>
                <w:rFonts w:ascii="方正仿宋_GBK" w:hAnsi="方正楷体_GBK" w:eastAsia="方正仿宋_GBK"/>
                <w:sz w:val="24"/>
                <w:szCs w:val="24"/>
              </w:rPr>
            </w:pP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水运工程施工，起重吊装作业，所使用的钢丝绳和索具没有具备生产资质的制造厂商提供的出厂合格证或材质证明的；或起重绳索没有进行受力计算的；或索具、滑车等没有根据计算结果合理选配的</w:t>
            </w:r>
          </w:p>
        </w:tc>
        <w:tc>
          <w:tcPr>
            <w:tcW w:w="3693" w:type="dxa"/>
            <w:noWrap w:val="0"/>
            <w:vAlign w:val="center"/>
          </w:tcPr>
          <w:p>
            <w:pPr>
              <w:spacing w:line="240" w:lineRule="exact"/>
              <w:ind w:right="-107" w:rightChars="-51"/>
              <w:rPr>
                <w:rFonts w:eastAsia="方正仿宋_GBK"/>
                <w:sz w:val="24"/>
                <w:szCs w:val="24"/>
              </w:rPr>
            </w:pPr>
            <w:r>
              <w:rPr>
                <w:rFonts w:hint="eastAsia" w:eastAsia="方正仿宋_GBK"/>
                <w:sz w:val="24"/>
                <w:szCs w:val="24"/>
              </w:rPr>
              <w:t>《水运工程施工安全防护技术规范》（</w:t>
            </w:r>
            <w:r>
              <w:rPr>
                <w:rFonts w:eastAsia="方正仿宋_GBK"/>
                <w:sz w:val="24"/>
                <w:szCs w:val="24"/>
              </w:rPr>
              <w:t>JTS205-1-2008</w:t>
            </w:r>
            <w:r>
              <w:rPr>
                <w:rFonts w:hint="eastAsia" w:eastAsia="方正仿宋_GBK"/>
                <w:sz w:val="24"/>
                <w:szCs w:val="24"/>
              </w:rPr>
              <w:t>）第</w:t>
            </w:r>
            <w:r>
              <w:rPr>
                <w:rFonts w:eastAsia="方正仿宋_GBK"/>
                <w:sz w:val="24"/>
                <w:szCs w:val="24"/>
              </w:rPr>
              <w:t>5.7.2</w:t>
            </w:r>
            <w:r>
              <w:rPr>
                <w:rFonts w:hint="eastAsia" w:eastAsia="方正仿宋_GBK"/>
                <w:sz w:val="24"/>
                <w:szCs w:val="24"/>
              </w:rPr>
              <w:t>条、第</w:t>
            </w:r>
            <w:r>
              <w:rPr>
                <w:rFonts w:eastAsia="方正仿宋_GBK"/>
                <w:sz w:val="24"/>
                <w:szCs w:val="24"/>
              </w:rPr>
              <w:t>5.7.3</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40</w:t>
            </w:r>
          </w:p>
        </w:tc>
        <w:tc>
          <w:tcPr>
            <w:tcW w:w="1090" w:type="dxa"/>
            <w:vMerge w:val="continue"/>
            <w:noWrap w:val="0"/>
            <w:vAlign w:val="center"/>
          </w:tcPr>
          <w:p>
            <w:pPr>
              <w:spacing w:line="240" w:lineRule="exact"/>
              <w:ind w:right="-107" w:rightChars="-51"/>
              <w:rPr>
                <w:rFonts w:ascii="方正仿宋_GBK" w:hAnsi="方正楷体_GBK" w:eastAsia="方正仿宋_GBK"/>
                <w:sz w:val="24"/>
                <w:szCs w:val="24"/>
              </w:rPr>
            </w:pP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水运工程施工，水下爆破施工没有对钻爆船的杂散电流进行监测的；或钻孔爆破船施工时，临时存放的炸药和雷管没有分舱放置的</w:t>
            </w:r>
          </w:p>
        </w:tc>
        <w:tc>
          <w:tcPr>
            <w:tcW w:w="3693" w:type="dxa"/>
            <w:noWrap w:val="0"/>
            <w:vAlign w:val="center"/>
          </w:tcPr>
          <w:p>
            <w:pPr>
              <w:spacing w:line="240" w:lineRule="exact"/>
              <w:ind w:right="-107" w:rightChars="-51"/>
              <w:rPr>
                <w:rFonts w:eastAsia="方正仿宋_GBK"/>
                <w:sz w:val="24"/>
                <w:szCs w:val="24"/>
              </w:rPr>
            </w:pPr>
            <w:r>
              <w:rPr>
                <w:rFonts w:hint="eastAsia" w:eastAsia="方正仿宋_GBK"/>
                <w:sz w:val="24"/>
                <w:szCs w:val="24"/>
              </w:rPr>
              <w:t>《水运工程施工安全防护技术规范》（</w:t>
            </w:r>
            <w:r>
              <w:rPr>
                <w:rFonts w:eastAsia="方正仿宋_GBK"/>
                <w:sz w:val="24"/>
                <w:szCs w:val="24"/>
              </w:rPr>
              <w:t>JTS205-1-2008</w:t>
            </w:r>
            <w:r>
              <w:rPr>
                <w:rFonts w:hint="eastAsia" w:eastAsia="方正仿宋_GBK"/>
                <w:sz w:val="24"/>
                <w:szCs w:val="24"/>
              </w:rPr>
              <w:t>）第</w:t>
            </w:r>
            <w:r>
              <w:rPr>
                <w:rFonts w:eastAsia="方正仿宋_GBK"/>
                <w:sz w:val="24"/>
                <w:szCs w:val="24"/>
              </w:rPr>
              <w:t>5.12.22</w:t>
            </w:r>
            <w:r>
              <w:rPr>
                <w:rFonts w:hint="eastAsia" w:eastAsia="方正仿宋_GBK"/>
                <w:sz w:val="24"/>
                <w:szCs w:val="24"/>
              </w:rPr>
              <w:t>条；第</w:t>
            </w:r>
            <w:r>
              <w:rPr>
                <w:rFonts w:eastAsia="方正仿宋_GBK"/>
                <w:sz w:val="24"/>
                <w:szCs w:val="24"/>
              </w:rPr>
              <w:t>5.12.23</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41</w:t>
            </w:r>
          </w:p>
        </w:tc>
        <w:tc>
          <w:tcPr>
            <w:tcW w:w="1090" w:type="dxa"/>
            <w:vMerge w:val="continue"/>
            <w:noWrap w:val="0"/>
            <w:vAlign w:val="center"/>
          </w:tcPr>
          <w:p>
            <w:pPr>
              <w:spacing w:line="240" w:lineRule="exact"/>
              <w:ind w:right="-107" w:rightChars="-51"/>
              <w:rPr>
                <w:rFonts w:ascii="方正仿宋_GBK" w:hAnsi="方正楷体_GBK" w:eastAsia="方正仿宋_GBK"/>
                <w:sz w:val="24"/>
                <w:szCs w:val="24"/>
              </w:rPr>
            </w:pP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挖孔桩施工，孔深超过</w:t>
            </w:r>
            <w:r>
              <w:rPr>
                <w:rFonts w:eastAsia="方正仿宋_GBK"/>
                <w:sz w:val="24"/>
                <w:szCs w:val="24"/>
              </w:rPr>
              <w:t>10</w:t>
            </w:r>
            <w:r>
              <w:rPr>
                <w:rFonts w:hint="eastAsia" w:eastAsia="方正仿宋_GBK"/>
                <w:sz w:val="24"/>
                <w:szCs w:val="24"/>
              </w:rPr>
              <w:t>米或孔存在有害气体时，桩孔内未采取强制通风措施的；或孔内爆破作业，爆破前，其他桩孔内人员未全部撤离的</w:t>
            </w:r>
          </w:p>
        </w:tc>
        <w:tc>
          <w:tcPr>
            <w:tcW w:w="3693" w:type="dxa"/>
            <w:noWrap w:val="0"/>
            <w:vAlign w:val="center"/>
          </w:tcPr>
          <w:p>
            <w:pPr>
              <w:spacing w:line="240" w:lineRule="exact"/>
              <w:ind w:right="-107" w:rightChars="-51"/>
              <w:rPr>
                <w:rFonts w:eastAsia="方正仿宋_GBK"/>
                <w:sz w:val="24"/>
                <w:szCs w:val="24"/>
              </w:rPr>
            </w:pPr>
            <w:r>
              <w:rPr>
                <w:rFonts w:hint="eastAsia" w:eastAsia="方正仿宋_GBK"/>
                <w:sz w:val="24"/>
                <w:szCs w:val="24"/>
              </w:rPr>
              <w:t>《水运工程施工安全防护技术规范》（</w:t>
            </w:r>
            <w:r>
              <w:rPr>
                <w:rFonts w:eastAsia="方正仿宋_GBK"/>
                <w:sz w:val="24"/>
                <w:szCs w:val="24"/>
              </w:rPr>
              <w:t>JTS205-1-2008</w:t>
            </w:r>
            <w:r>
              <w:rPr>
                <w:rFonts w:hint="eastAsia" w:eastAsia="方正仿宋_GBK"/>
                <w:sz w:val="24"/>
                <w:szCs w:val="24"/>
              </w:rPr>
              <w:t>）第</w:t>
            </w:r>
            <w:r>
              <w:rPr>
                <w:rFonts w:eastAsia="方正仿宋_GBK"/>
                <w:sz w:val="24"/>
                <w:szCs w:val="24"/>
              </w:rPr>
              <w:t>7.5.6</w:t>
            </w:r>
            <w:r>
              <w:rPr>
                <w:rFonts w:hint="eastAsia" w:eastAsia="方正仿宋_GBK"/>
                <w:sz w:val="24"/>
                <w:szCs w:val="24"/>
              </w:rPr>
              <w:t>条、</w:t>
            </w:r>
            <w:r>
              <w:rPr>
                <w:rFonts w:eastAsia="方正仿宋_GBK"/>
                <w:sz w:val="24"/>
                <w:szCs w:val="24"/>
              </w:rPr>
              <w:t>7.5.15</w:t>
            </w:r>
            <w:r>
              <w:rPr>
                <w:rFonts w:hint="eastAsia" w:eastAsia="方正仿宋_GBK"/>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18" w:type="dxa"/>
            <w:noWrap w:val="0"/>
            <w:vAlign w:val="center"/>
          </w:tcPr>
          <w:p>
            <w:pPr>
              <w:spacing w:line="240" w:lineRule="exact"/>
              <w:ind w:right="-107" w:rightChars="-51"/>
              <w:jc w:val="center"/>
              <w:rPr>
                <w:rFonts w:ascii="方正仿宋_GBK" w:eastAsia="方正仿宋_GBK"/>
                <w:sz w:val="24"/>
                <w:szCs w:val="24"/>
              </w:rPr>
            </w:pPr>
            <w:r>
              <w:rPr>
                <w:rFonts w:ascii="方正仿宋_GBK" w:eastAsia="方正仿宋_GBK"/>
                <w:sz w:val="24"/>
                <w:szCs w:val="24"/>
              </w:rPr>
              <w:t>42</w:t>
            </w:r>
          </w:p>
        </w:tc>
        <w:tc>
          <w:tcPr>
            <w:tcW w:w="1090" w:type="dxa"/>
            <w:vMerge w:val="continue"/>
            <w:noWrap w:val="0"/>
            <w:vAlign w:val="center"/>
          </w:tcPr>
          <w:p>
            <w:pPr>
              <w:spacing w:line="240" w:lineRule="exact"/>
              <w:ind w:right="-107" w:rightChars="-51"/>
              <w:rPr>
                <w:rFonts w:ascii="方正仿宋_GBK" w:hAnsi="方正楷体_GBK" w:eastAsia="方正仿宋_GBK"/>
                <w:sz w:val="24"/>
                <w:szCs w:val="24"/>
              </w:rPr>
            </w:pPr>
          </w:p>
        </w:tc>
        <w:tc>
          <w:tcPr>
            <w:tcW w:w="3685" w:type="dxa"/>
            <w:noWrap w:val="0"/>
            <w:vAlign w:val="center"/>
          </w:tcPr>
          <w:p>
            <w:pPr>
              <w:spacing w:line="240" w:lineRule="exact"/>
              <w:ind w:right="-107" w:rightChars="-51"/>
              <w:rPr>
                <w:rFonts w:eastAsia="方正仿宋_GBK"/>
                <w:sz w:val="24"/>
                <w:szCs w:val="24"/>
              </w:rPr>
            </w:pPr>
            <w:r>
              <w:rPr>
                <w:rFonts w:hint="eastAsia" w:eastAsia="方正仿宋_GBK"/>
                <w:sz w:val="24"/>
                <w:szCs w:val="24"/>
              </w:rPr>
              <w:t>施工船舶未在核定航区或作业水域内施工的</w:t>
            </w:r>
          </w:p>
        </w:tc>
        <w:tc>
          <w:tcPr>
            <w:tcW w:w="3693" w:type="dxa"/>
            <w:noWrap w:val="0"/>
            <w:vAlign w:val="center"/>
          </w:tcPr>
          <w:p>
            <w:pPr>
              <w:spacing w:line="240" w:lineRule="exact"/>
              <w:ind w:right="-107" w:rightChars="-51"/>
              <w:rPr>
                <w:rFonts w:eastAsia="方正仿宋_GBK"/>
                <w:sz w:val="24"/>
                <w:szCs w:val="24"/>
              </w:rPr>
            </w:pPr>
            <w:r>
              <w:rPr>
                <w:rFonts w:hint="eastAsia" w:eastAsia="方正仿宋_GBK"/>
                <w:sz w:val="24"/>
                <w:szCs w:val="24"/>
              </w:rPr>
              <w:t>《水运工程施工安全防护技术规范》（</w:t>
            </w:r>
            <w:r>
              <w:rPr>
                <w:rFonts w:eastAsia="方正仿宋_GBK"/>
                <w:sz w:val="24"/>
                <w:szCs w:val="24"/>
              </w:rPr>
              <w:t>JTS205-1-2008</w:t>
            </w:r>
            <w:r>
              <w:rPr>
                <w:rFonts w:hint="eastAsia" w:eastAsia="方正仿宋_GBK"/>
                <w:sz w:val="24"/>
                <w:szCs w:val="24"/>
              </w:rPr>
              <w:t>）第</w:t>
            </w:r>
            <w:r>
              <w:rPr>
                <w:rFonts w:eastAsia="方正仿宋_GBK"/>
                <w:sz w:val="24"/>
                <w:szCs w:val="24"/>
              </w:rPr>
              <w:t>10.1.3</w:t>
            </w:r>
            <w:r>
              <w:rPr>
                <w:rFonts w:hint="eastAsia" w:eastAsia="方正仿宋_GBK"/>
                <w:sz w:val="24"/>
                <w:szCs w:val="24"/>
              </w:rPr>
              <w:t>条</w:t>
            </w:r>
          </w:p>
        </w:tc>
      </w:tr>
    </w:tbl>
    <w:p>
      <w:pPr>
        <w:spacing w:line="560" w:lineRule="exact"/>
        <w:rPr>
          <w:rFonts w:ascii="方正仿宋_GBK" w:eastAsia="方正仿宋_GBK"/>
          <w:sz w:val="32"/>
          <w:szCs w:val="32"/>
        </w:rPr>
      </w:pPr>
    </w:p>
    <w:p>
      <w:pPr>
        <w:spacing w:line="480" w:lineRule="exact"/>
        <w:rPr>
          <w:rFonts w:hint="eastAsia" w:ascii="方正黑体_GBK" w:eastAsia="方正黑体_GBK"/>
          <w:sz w:val="32"/>
          <w:szCs w:val="32"/>
        </w:rPr>
      </w:pPr>
    </w:p>
    <w:p>
      <w:pPr>
        <w:spacing w:line="480" w:lineRule="exact"/>
        <w:rPr>
          <w:rFonts w:hint="eastAsia" w:ascii="方正黑体_GBK" w:eastAsia="方正黑体_GBK"/>
          <w:sz w:val="32"/>
          <w:szCs w:val="32"/>
        </w:rPr>
      </w:pPr>
    </w:p>
    <w:p>
      <w:pPr>
        <w:spacing w:line="480" w:lineRule="exact"/>
        <w:rPr>
          <w:rFonts w:hint="eastAsia" w:ascii="方正黑体_GBK" w:eastAsia="方正黑体_GBK"/>
          <w:sz w:val="32"/>
          <w:szCs w:val="32"/>
        </w:rPr>
      </w:pPr>
      <w:r>
        <w:rPr>
          <w:rFonts w:hint="eastAsia" w:ascii="方正黑体_GBK" w:eastAsia="方正黑体_GBK"/>
          <w:sz w:val="32"/>
          <w:szCs w:val="32"/>
        </w:rPr>
        <w:t>附件2</w:t>
      </w:r>
    </w:p>
    <w:p>
      <w:pPr>
        <w:spacing w:line="400" w:lineRule="exact"/>
        <w:rPr>
          <w:rFonts w:hint="eastAsia" w:ascii="方正黑体_GBK" w:eastAsia="方正黑体_GBK"/>
          <w:sz w:val="32"/>
          <w:szCs w:val="32"/>
        </w:rPr>
      </w:pPr>
    </w:p>
    <w:p>
      <w:pPr>
        <w:spacing w:line="480" w:lineRule="exact"/>
        <w:jc w:val="center"/>
        <w:rPr>
          <w:rFonts w:hint="eastAsia" w:ascii="方正小标宋_GBK" w:hAnsi="宋体" w:eastAsia="方正小标宋_GBK"/>
          <w:bCs/>
          <w:color w:val="000000"/>
          <w:sz w:val="44"/>
          <w:szCs w:val="44"/>
        </w:rPr>
      </w:pPr>
      <w:r>
        <w:rPr>
          <w:rFonts w:hint="eastAsia" w:ascii="方正小标宋_GBK" w:hAnsi="宋体" w:eastAsia="方正小标宋_GBK"/>
          <w:bCs/>
          <w:color w:val="000000"/>
          <w:sz w:val="44"/>
          <w:szCs w:val="44"/>
        </w:rPr>
        <w:t>交通局当场行政处</w:t>
      </w:r>
      <w:bookmarkStart w:id="2" w:name="_GoBack"/>
      <w:bookmarkEnd w:id="2"/>
      <w:r>
        <w:rPr>
          <w:rFonts w:hint="eastAsia" w:ascii="方正小标宋_GBK" w:hAnsi="宋体" w:eastAsia="方正小标宋_GBK"/>
          <w:bCs/>
          <w:color w:val="000000"/>
          <w:sz w:val="44"/>
          <w:szCs w:val="44"/>
        </w:rPr>
        <w:t>罚决定书（式样）</w:t>
      </w:r>
    </w:p>
    <w:tbl>
      <w:tblPr>
        <w:tblStyle w:val="7"/>
        <w:tblpPr w:leftFromText="180" w:rightFromText="180" w:vertAnchor="text" w:horzAnchor="margin" w:tblpXSpec="center" w:tblpY="768"/>
        <w:tblW w:w="865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36"/>
        <w:gridCol w:w="1195"/>
        <w:gridCol w:w="1302"/>
        <w:gridCol w:w="919"/>
        <w:gridCol w:w="1366"/>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exact"/>
        </w:trPr>
        <w:tc>
          <w:tcPr>
            <w:tcW w:w="1536" w:type="dxa"/>
            <w:vMerge w:val="restart"/>
            <w:noWrap w:val="0"/>
            <w:vAlign w:val="center"/>
          </w:tcPr>
          <w:p>
            <w:pPr>
              <w:jc w:val="center"/>
              <w:rPr>
                <w:sz w:val="24"/>
              </w:rPr>
            </w:pPr>
            <w:r>
              <w:rPr>
                <w:rFonts w:hint="eastAsia"/>
                <w:spacing w:val="-20"/>
                <w:sz w:val="24"/>
              </w:rPr>
              <w:t>当事人</w:t>
            </w:r>
          </w:p>
        </w:tc>
        <w:tc>
          <w:tcPr>
            <w:tcW w:w="1195" w:type="dxa"/>
            <w:noWrap w:val="0"/>
            <w:vAlign w:val="center"/>
          </w:tcPr>
          <w:p>
            <w:pPr>
              <w:rPr>
                <w:sz w:val="24"/>
              </w:rPr>
            </w:pPr>
            <w:r>
              <w:rPr>
                <w:rFonts w:hint="eastAsia"/>
                <w:sz w:val="24"/>
              </w:rPr>
              <w:t>名　</w:t>
            </w:r>
            <w:r>
              <w:rPr>
                <w:sz w:val="24"/>
              </w:rPr>
              <w:t xml:space="preserve">  </w:t>
            </w:r>
            <w:r>
              <w:rPr>
                <w:rFonts w:hint="eastAsia"/>
                <w:sz w:val="24"/>
              </w:rPr>
              <w:t>称</w:t>
            </w:r>
          </w:p>
        </w:tc>
        <w:tc>
          <w:tcPr>
            <w:tcW w:w="5921" w:type="dxa"/>
            <w:gridSpan w:val="4"/>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exact"/>
        </w:trPr>
        <w:tc>
          <w:tcPr>
            <w:tcW w:w="1536" w:type="dxa"/>
            <w:vMerge w:val="continue"/>
            <w:noWrap w:val="0"/>
            <w:vAlign w:val="center"/>
          </w:tcPr>
          <w:p>
            <w:pPr>
              <w:jc w:val="center"/>
              <w:rPr>
                <w:sz w:val="24"/>
              </w:rPr>
            </w:pPr>
          </w:p>
        </w:tc>
        <w:tc>
          <w:tcPr>
            <w:tcW w:w="1195" w:type="dxa"/>
            <w:noWrap w:val="0"/>
            <w:vAlign w:val="center"/>
          </w:tcPr>
          <w:p>
            <w:pPr>
              <w:rPr>
                <w:sz w:val="24"/>
              </w:rPr>
            </w:pPr>
            <w:r>
              <w:rPr>
                <w:rFonts w:hint="eastAsia"/>
                <w:sz w:val="24"/>
              </w:rPr>
              <w:t>地　　址</w:t>
            </w:r>
          </w:p>
        </w:tc>
        <w:tc>
          <w:tcPr>
            <w:tcW w:w="5921" w:type="dxa"/>
            <w:gridSpan w:val="4"/>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exact"/>
        </w:trPr>
        <w:tc>
          <w:tcPr>
            <w:tcW w:w="1536" w:type="dxa"/>
            <w:vMerge w:val="continue"/>
            <w:noWrap w:val="0"/>
            <w:vAlign w:val="center"/>
          </w:tcPr>
          <w:p>
            <w:pPr>
              <w:rPr>
                <w:sz w:val="24"/>
              </w:rPr>
            </w:pPr>
          </w:p>
        </w:tc>
        <w:tc>
          <w:tcPr>
            <w:tcW w:w="1195" w:type="dxa"/>
            <w:noWrap w:val="0"/>
            <w:vAlign w:val="center"/>
          </w:tcPr>
          <w:p>
            <w:pPr>
              <w:rPr>
                <w:sz w:val="24"/>
              </w:rPr>
            </w:pPr>
            <w:r>
              <w:rPr>
                <w:rFonts w:hint="eastAsia"/>
                <w:sz w:val="24"/>
              </w:rPr>
              <w:t>联系电话</w:t>
            </w:r>
          </w:p>
        </w:tc>
        <w:tc>
          <w:tcPr>
            <w:tcW w:w="2221" w:type="dxa"/>
            <w:gridSpan w:val="2"/>
            <w:noWrap w:val="0"/>
            <w:vAlign w:val="center"/>
          </w:tcPr>
          <w:p>
            <w:pPr>
              <w:rPr>
                <w:sz w:val="24"/>
              </w:rPr>
            </w:pPr>
          </w:p>
        </w:tc>
        <w:tc>
          <w:tcPr>
            <w:tcW w:w="1366" w:type="dxa"/>
            <w:noWrap w:val="0"/>
            <w:vAlign w:val="center"/>
          </w:tcPr>
          <w:p>
            <w:pPr>
              <w:rPr>
                <w:sz w:val="24"/>
              </w:rPr>
            </w:pPr>
            <w:r>
              <w:rPr>
                <w:rFonts w:hint="eastAsia"/>
                <w:sz w:val="24"/>
              </w:rPr>
              <w:t>法定代表人</w:t>
            </w:r>
          </w:p>
        </w:tc>
        <w:tc>
          <w:tcPr>
            <w:tcW w:w="2334" w:type="dxa"/>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exact"/>
        </w:trPr>
        <w:tc>
          <w:tcPr>
            <w:tcW w:w="1536" w:type="dxa"/>
            <w:vMerge w:val="continue"/>
            <w:noWrap w:val="0"/>
            <w:vAlign w:val="center"/>
          </w:tcPr>
          <w:p>
            <w:pPr>
              <w:rPr>
                <w:sz w:val="24"/>
              </w:rPr>
            </w:pPr>
          </w:p>
        </w:tc>
        <w:tc>
          <w:tcPr>
            <w:tcW w:w="2497" w:type="dxa"/>
            <w:gridSpan w:val="2"/>
            <w:noWrap w:val="0"/>
            <w:vAlign w:val="center"/>
          </w:tcPr>
          <w:p>
            <w:pPr>
              <w:rPr>
                <w:sz w:val="24"/>
              </w:rPr>
            </w:pPr>
            <w:r>
              <w:rPr>
                <w:rFonts w:hint="eastAsia"/>
                <w:sz w:val="24"/>
              </w:rPr>
              <w:t>统一社会信用代码</w:t>
            </w:r>
          </w:p>
        </w:tc>
        <w:tc>
          <w:tcPr>
            <w:tcW w:w="4619" w:type="dxa"/>
            <w:gridSpan w:val="3"/>
            <w:noWrap w:val="0"/>
            <w:vAlign w:val="center"/>
          </w:tcPr>
          <w:p>
            <w:pPr>
              <w:rPr>
                <w:sz w:val="24"/>
              </w:rPr>
            </w:pPr>
          </w:p>
        </w:tc>
      </w:tr>
    </w:tbl>
    <w:p>
      <w:pPr>
        <w:snapToGrid w:val="0"/>
        <w:jc w:val="center"/>
        <w:rPr>
          <w:rFonts w:eastAsia="仿宋_GB2312"/>
          <w:color w:val="000000"/>
          <w:sz w:val="28"/>
          <w:szCs w:val="28"/>
        </w:rPr>
      </w:pPr>
      <w:r>
        <w:rPr>
          <w:sz w:val="24"/>
          <w:u w:val="single"/>
        </w:rPr>
        <w:t xml:space="preserve">      </w:t>
      </w:r>
      <w:r>
        <w:rPr>
          <w:rFonts w:hint="eastAsia" w:eastAsia="仿宋_GB2312"/>
          <w:color w:val="000000"/>
          <w:sz w:val="28"/>
          <w:szCs w:val="28"/>
        </w:rPr>
        <w:t>交执质简罚</w:t>
      </w:r>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283845</wp:posOffset>
                </wp:positionV>
                <wp:extent cx="5744845" cy="0"/>
                <wp:effectExtent l="0" t="9525" r="8255" b="952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44845"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top:22.35pt;height:0pt;width:452.35pt;mso-position-horizontal:center;z-index:251659264;mso-width-relative:page;mso-height-relative:page;" filled="f" stroked="t" coordsize="21600,21600" o:gfxdata="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15lSnSAAAA&#10;BgEAAA8AAAAAAAAAAQAgAAAAIgAAAGRycy9kb3ducmV2LnhtbFBLAQIUABQAAAAIAIdO4kDvIFU1&#10;6gEAALkDAAAOAAAAAAAAAAEAIAAAACEBAABkcnMvZTJvRG9jLnhtbFBLBQYAAAAABgAGAFkBAAB9&#10;BQAAAAA=&#10;">
                <v:path arrowok="t"/>
                <v:fill on="f" focussize="0,0"/>
                <v:stroke weight="1.5pt"/>
                <v:imagedata o:title=""/>
                <o:lock v:ext="edit" aspectratio="f"/>
              </v:line>
            </w:pict>
          </mc:Fallback>
        </mc:AlternateContent>
      </w:r>
      <w:r>
        <w:rPr>
          <w:rFonts w:hint="eastAsia" w:eastAsia="仿宋_GB2312"/>
          <w:color w:val="000000"/>
          <w:sz w:val="28"/>
          <w:szCs w:val="28"/>
        </w:rPr>
        <w:t>〔</w:t>
      </w:r>
      <w:r>
        <w:rPr>
          <w:rFonts w:eastAsia="仿宋_GB2312"/>
          <w:color w:val="000000"/>
          <w:sz w:val="28"/>
          <w:szCs w:val="28"/>
        </w:rPr>
        <w:t xml:space="preserve">    </w:t>
      </w:r>
      <w:r>
        <w:rPr>
          <w:rFonts w:hint="eastAsia" w:eastAsia="仿宋_GB2312"/>
          <w:color w:val="000000"/>
          <w:sz w:val="28"/>
          <w:szCs w:val="28"/>
        </w:rPr>
        <w:t>〕</w:t>
      </w:r>
      <w:r>
        <w:rPr>
          <w:sz w:val="24"/>
          <w:u w:val="single"/>
        </w:rPr>
        <w:t xml:space="preserve">   </w:t>
      </w:r>
      <w:r>
        <w:rPr>
          <w:rFonts w:hint="eastAsia" w:eastAsia="仿宋_GB2312"/>
          <w:color w:val="000000"/>
          <w:sz w:val="28"/>
          <w:szCs w:val="28"/>
        </w:rPr>
        <w:t>号</w:t>
      </w:r>
    </w:p>
    <w:p>
      <w:pPr>
        <w:rPr>
          <w:sz w:val="24"/>
        </w:rPr>
      </w:pPr>
    </w:p>
    <w:p>
      <w:pPr>
        <w:spacing w:line="360" w:lineRule="exact"/>
        <w:ind w:firstLine="480" w:firstLineChars="200"/>
        <w:rPr>
          <w:sz w:val="24"/>
          <w:u w:val="single"/>
        </w:rPr>
      </w:pPr>
      <w:r>
        <w:rPr>
          <w:rFonts w:hint="eastAsia"/>
          <w:sz w:val="24"/>
        </w:rPr>
        <w:t>违法事实及证据：你（单位）</w:t>
      </w:r>
      <w:r>
        <w:rPr>
          <w:sz w:val="24"/>
          <w:u w:val="single"/>
        </w:rPr>
        <w:t xml:space="preserve">      </w:t>
      </w:r>
      <w:r>
        <w:rPr>
          <w:rFonts w:hint="eastAsia"/>
          <w:sz w:val="24"/>
          <w:u w:val="single"/>
        </w:rPr>
        <w:t>年</w:t>
      </w:r>
      <w:r>
        <w:rPr>
          <w:sz w:val="24"/>
          <w:u w:val="single"/>
        </w:rPr>
        <w:t xml:space="preserve">   </w:t>
      </w:r>
      <w:r>
        <w:rPr>
          <w:rFonts w:hint="eastAsia"/>
          <w:sz w:val="24"/>
          <w:u w:val="single"/>
        </w:rPr>
        <w:t>月</w:t>
      </w:r>
      <w:r>
        <w:rPr>
          <w:sz w:val="24"/>
          <w:u w:val="single"/>
        </w:rPr>
        <w:t xml:space="preserve">   </w:t>
      </w:r>
      <w:r>
        <w:rPr>
          <w:rFonts w:hint="eastAsia"/>
          <w:sz w:val="24"/>
          <w:u w:val="single"/>
        </w:rPr>
        <w:t>日</w:t>
      </w:r>
      <w:r>
        <w:rPr>
          <w:sz w:val="24"/>
          <w:u w:val="single"/>
        </w:rPr>
        <w:t xml:space="preserve">   </w:t>
      </w:r>
      <w:r>
        <w:rPr>
          <w:rFonts w:hint="eastAsia"/>
          <w:sz w:val="24"/>
          <w:u w:val="single"/>
        </w:rPr>
        <w:t>时</w:t>
      </w:r>
      <w:r>
        <w:rPr>
          <w:sz w:val="24"/>
          <w:u w:val="single"/>
        </w:rPr>
        <w:t xml:space="preserve">   </w:t>
      </w:r>
      <w:r>
        <w:rPr>
          <w:rFonts w:hint="eastAsia"/>
          <w:sz w:val="24"/>
          <w:u w:val="single"/>
        </w:rPr>
        <w:t>分</w:t>
      </w:r>
    </w:p>
    <w:p>
      <w:pPr>
        <w:spacing w:line="360" w:lineRule="exact"/>
        <w:rPr>
          <w:sz w:val="24"/>
          <w:u w:val="single"/>
        </w:rPr>
      </w:pPr>
      <w:r>
        <w:rPr>
          <w:rFonts w:hint="eastAsia"/>
          <w:sz w:val="24"/>
          <w:u w:val="single"/>
        </w:rPr>
        <w:t>在</w:t>
      </w:r>
      <w:r>
        <w:rPr>
          <w:sz w:val="24"/>
          <w:u w:val="single"/>
        </w:rPr>
        <w:t xml:space="preserve">                           </w:t>
      </w:r>
      <w:r>
        <w:rPr>
          <w:rFonts w:hint="eastAsia"/>
          <w:sz w:val="24"/>
          <w:u w:val="single"/>
        </w:rPr>
        <w:t>（项目位置及桩号）实施了以下行为（打√）：</w:t>
      </w:r>
    </w:p>
    <w:p>
      <w:pPr>
        <w:spacing w:line="360" w:lineRule="exact"/>
        <w:ind w:firstLine="480" w:firstLineChars="200"/>
        <w:jc w:val="left"/>
        <w:rPr>
          <w:sz w:val="24"/>
        </w:rPr>
      </w:pPr>
      <w:r>
        <w:rPr>
          <w:rFonts w:hint="eastAsia" w:ascii="宋体" w:hAnsi="宋体"/>
          <w:sz w:val="24"/>
        </w:rPr>
        <w:t>□</w:t>
      </w:r>
      <w:r>
        <w:rPr>
          <w:rFonts w:hint="eastAsia"/>
          <w:sz w:val="24"/>
        </w:rPr>
        <w:t>未正确使用安全防护用品（</w:t>
      </w:r>
      <w:r>
        <w:rPr>
          <w:rFonts w:hint="eastAsia" w:ascii="宋体" w:hAnsi="宋体"/>
          <w:sz w:val="24"/>
        </w:rPr>
        <w:t>□</w:t>
      </w:r>
      <w:r>
        <w:rPr>
          <w:rFonts w:hint="eastAsia"/>
          <w:sz w:val="24"/>
        </w:rPr>
        <w:t>未正确使用；</w:t>
      </w:r>
      <w:r>
        <w:rPr>
          <w:rFonts w:hint="eastAsia" w:ascii="宋体" w:hAnsi="宋体"/>
          <w:sz w:val="24"/>
        </w:rPr>
        <w:t>□</w:t>
      </w:r>
      <w:r>
        <w:rPr>
          <w:rFonts w:hint="eastAsia"/>
          <w:sz w:val="24"/>
        </w:rPr>
        <w:t>未使用；</w:t>
      </w:r>
      <w:r>
        <w:rPr>
          <w:rFonts w:hint="eastAsia" w:ascii="宋体" w:hAnsi="宋体"/>
          <w:sz w:val="24"/>
        </w:rPr>
        <w:t>□</w:t>
      </w:r>
      <w:r>
        <w:rPr>
          <w:rFonts w:hint="eastAsia"/>
          <w:sz w:val="24"/>
        </w:rPr>
        <w:t>高空、井下等危险作业未正确使用）；</w:t>
      </w:r>
    </w:p>
    <w:p>
      <w:pPr>
        <w:spacing w:line="360" w:lineRule="exact"/>
        <w:ind w:firstLine="480" w:firstLineChars="200"/>
        <w:jc w:val="left"/>
        <w:rPr>
          <w:sz w:val="24"/>
        </w:rPr>
      </w:pPr>
      <w:r>
        <w:rPr>
          <w:rFonts w:hint="eastAsia" w:ascii="宋体" w:hAnsi="宋体"/>
          <w:sz w:val="24"/>
        </w:rPr>
        <w:t>□</w:t>
      </w:r>
      <w:r>
        <w:rPr>
          <w:rFonts w:hint="eastAsia"/>
          <w:sz w:val="24"/>
        </w:rPr>
        <w:t>未设置临边洞口防护设施（发现</w:t>
      </w:r>
      <w:r>
        <w:rPr>
          <w:sz w:val="24"/>
          <w:u w:val="single"/>
        </w:rPr>
        <w:t xml:space="preserve">   </w:t>
      </w:r>
      <w:r>
        <w:rPr>
          <w:rFonts w:hint="eastAsia"/>
          <w:sz w:val="24"/>
        </w:rPr>
        <w:t>处）；</w:t>
      </w:r>
    </w:p>
    <w:p>
      <w:pPr>
        <w:spacing w:line="360" w:lineRule="exact"/>
        <w:ind w:firstLine="480" w:firstLineChars="200"/>
        <w:jc w:val="left"/>
        <w:rPr>
          <w:sz w:val="24"/>
        </w:rPr>
      </w:pPr>
      <w:r>
        <w:rPr>
          <w:rFonts w:hint="eastAsia" w:ascii="宋体" w:hAnsi="宋体"/>
          <w:sz w:val="24"/>
        </w:rPr>
        <w:t>□</w:t>
      </w:r>
      <w:r>
        <w:rPr>
          <w:rFonts w:hint="eastAsia"/>
          <w:sz w:val="24"/>
        </w:rPr>
        <w:t>吊运物体无人指挥（发现</w:t>
      </w:r>
      <w:r>
        <w:rPr>
          <w:sz w:val="24"/>
          <w:u w:val="single"/>
        </w:rPr>
        <w:t xml:space="preserve">   </w:t>
      </w:r>
      <w:r>
        <w:rPr>
          <w:rFonts w:hint="eastAsia"/>
          <w:sz w:val="24"/>
        </w:rPr>
        <w:t>起）；</w:t>
      </w:r>
    </w:p>
    <w:p>
      <w:pPr>
        <w:spacing w:line="360" w:lineRule="exact"/>
        <w:ind w:firstLine="480" w:firstLineChars="200"/>
        <w:jc w:val="left"/>
        <w:rPr>
          <w:sz w:val="24"/>
        </w:rPr>
      </w:pPr>
      <w:r>
        <w:rPr>
          <w:rFonts w:hint="eastAsia" w:ascii="宋体" w:hAnsi="宋体"/>
          <w:sz w:val="24"/>
        </w:rPr>
        <w:t>□</w:t>
      </w:r>
      <w:r>
        <w:rPr>
          <w:rFonts w:hint="eastAsia"/>
          <w:sz w:val="24"/>
        </w:rPr>
        <w:t>使用破损的用电防护设施、违章使用用电设备（发现</w:t>
      </w:r>
      <w:r>
        <w:rPr>
          <w:sz w:val="24"/>
          <w:u w:val="single"/>
        </w:rPr>
        <w:t xml:space="preserve">   </w:t>
      </w:r>
      <w:r>
        <w:rPr>
          <w:sz w:val="24"/>
        </w:rPr>
        <w:t>/</w:t>
      </w:r>
      <w:r>
        <w:rPr>
          <w:rFonts w:hint="eastAsia"/>
          <w:sz w:val="24"/>
        </w:rPr>
        <w:t>套台）；</w:t>
      </w:r>
    </w:p>
    <w:p>
      <w:pPr>
        <w:spacing w:line="360" w:lineRule="exact"/>
        <w:ind w:firstLine="480" w:firstLineChars="200"/>
        <w:jc w:val="left"/>
        <w:rPr>
          <w:sz w:val="24"/>
          <w:u w:val="single"/>
        </w:rPr>
      </w:pPr>
      <w:r>
        <w:rPr>
          <w:rFonts w:hint="eastAsia" w:ascii="宋体" w:hAnsi="宋体"/>
          <w:sz w:val="24"/>
        </w:rPr>
        <w:t>□</w:t>
      </w:r>
      <w:r>
        <w:rPr>
          <w:rFonts w:hint="eastAsia"/>
          <w:sz w:val="24"/>
        </w:rPr>
        <w:t>其他施工现场违法行为（发现</w:t>
      </w:r>
      <w:r>
        <w:rPr>
          <w:sz w:val="24"/>
          <w:u w:val="single"/>
        </w:rPr>
        <w:t xml:space="preserve">   </w:t>
      </w:r>
      <w:r>
        <w:rPr>
          <w:rFonts w:hint="eastAsia"/>
          <w:sz w:val="24"/>
        </w:rPr>
        <w:t>处）；</w:t>
      </w:r>
    </w:p>
    <w:p>
      <w:pPr>
        <w:spacing w:line="360" w:lineRule="exact"/>
        <w:ind w:firstLine="480" w:firstLineChars="200"/>
        <w:jc w:val="left"/>
        <w:rPr>
          <w:sz w:val="24"/>
        </w:rPr>
      </w:pPr>
      <w:r>
        <w:rPr>
          <w:rFonts w:hint="eastAsia"/>
          <w:sz w:val="24"/>
        </w:rPr>
        <w:t>以上事实违反了《重庆市建设工程安全生产管理办法》第二十四条第</w:t>
      </w:r>
      <w:r>
        <w:rPr>
          <w:sz w:val="24"/>
          <w:u w:val="single"/>
        </w:rPr>
        <w:t xml:space="preserve">  </w:t>
      </w:r>
      <w:r>
        <w:rPr>
          <w:rFonts w:hint="eastAsia"/>
          <w:sz w:val="24"/>
        </w:rPr>
        <w:t>项的规定，依据《重庆市建设工程安全生产管理办法》第四十五条第</w:t>
      </w:r>
      <w:r>
        <w:rPr>
          <w:sz w:val="24"/>
          <w:u w:val="single"/>
        </w:rPr>
        <w:t xml:space="preserve">  </w:t>
      </w:r>
      <w:r>
        <w:rPr>
          <w:rFonts w:hint="eastAsia"/>
          <w:sz w:val="24"/>
        </w:rPr>
        <w:t>项的规定，决定给予罚款（打√）</w:t>
      </w:r>
      <w:r>
        <w:rPr>
          <w:rFonts w:hint="eastAsia" w:ascii="宋体" w:hAnsi="宋体"/>
          <w:sz w:val="24"/>
          <w:u w:val="single"/>
        </w:rPr>
        <w:t>□</w:t>
      </w:r>
      <w:r>
        <w:rPr>
          <w:rFonts w:ascii="宋体" w:hAnsi="宋体"/>
          <w:sz w:val="24"/>
          <w:u w:val="single"/>
        </w:rPr>
        <w:t>2</w:t>
      </w:r>
      <w:r>
        <w:rPr>
          <w:rFonts w:ascii="宋体"/>
          <w:sz w:val="24"/>
          <w:u w:val="single"/>
        </w:rPr>
        <w:t>00</w:t>
      </w:r>
      <w:r>
        <w:rPr>
          <w:rFonts w:hint="eastAsia" w:ascii="宋体" w:hAnsi="宋体"/>
          <w:sz w:val="24"/>
          <w:u w:val="single"/>
        </w:rPr>
        <w:t>元；□</w:t>
      </w:r>
      <w:r>
        <w:rPr>
          <w:rFonts w:ascii="宋体" w:hAnsi="宋体"/>
          <w:sz w:val="24"/>
          <w:u w:val="single"/>
        </w:rPr>
        <w:t>6</w:t>
      </w:r>
      <w:r>
        <w:rPr>
          <w:rFonts w:ascii="宋体"/>
          <w:sz w:val="24"/>
          <w:u w:val="single"/>
        </w:rPr>
        <w:t>00</w:t>
      </w:r>
      <w:r>
        <w:rPr>
          <w:rFonts w:hint="eastAsia" w:ascii="宋体" w:hAnsi="宋体"/>
          <w:sz w:val="24"/>
          <w:u w:val="single"/>
        </w:rPr>
        <w:t>元；□</w:t>
      </w:r>
      <w:r>
        <w:rPr>
          <w:rFonts w:ascii="宋体" w:hAnsi="宋体"/>
          <w:sz w:val="24"/>
          <w:u w:val="single"/>
        </w:rPr>
        <w:t>1</w:t>
      </w:r>
      <w:r>
        <w:rPr>
          <w:rFonts w:ascii="宋体"/>
          <w:sz w:val="24"/>
          <w:u w:val="single"/>
        </w:rPr>
        <w:t>000</w:t>
      </w:r>
      <w:r>
        <w:rPr>
          <w:rFonts w:hint="eastAsia" w:ascii="宋体" w:hAnsi="宋体"/>
          <w:sz w:val="24"/>
          <w:u w:val="single"/>
        </w:rPr>
        <w:t>元</w:t>
      </w:r>
      <w:r>
        <w:rPr>
          <w:rFonts w:hint="eastAsia"/>
          <w:sz w:val="24"/>
        </w:rPr>
        <w:t>的行政处罚。</w:t>
      </w:r>
    </w:p>
    <w:p>
      <w:pPr>
        <w:spacing w:line="360" w:lineRule="exact"/>
        <w:ind w:firstLine="480" w:firstLineChars="200"/>
        <w:rPr>
          <w:sz w:val="24"/>
        </w:rPr>
      </w:pPr>
      <w:r>
        <w:rPr>
          <w:rFonts w:hint="eastAsia"/>
          <w:sz w:val="24"/>
          <w:szCs w:val="36"/>
        </w:rPr>
        <w:t>你单位应当自</w:t>
      </w:r>
      <w:r>
        <w:rPr>
          <w:rFonts w:hint="eastAsia"/>
          <w:sz w:val="24"/>
        </w:rPr>
        <w:t>收到本决定书之日起十五日内到</w:t>
      </w:r>
      <w:r>
        <w:rPr>
          <w:sz w:val="24"/>
          <w:u w:val="single"/>
        </w:rPr>
        <w:t xml:space="preserve">      </w:t>
      </w:r>
      <w:r>
        <w:rPr>
          <w:rFonts w:hint="eastAsia"/>
          <w:sz w:val="24"/>
        </w:rPr>
        <w:t>缴纳罚款，到期不缴纳罚款的</w:t>
      </w:r>
      <w:r>
        <w:rPr>
          <w:rFonts w:hint="eastAsia"/>
          <w:spacing w:val="-10"/>
          <w:sz w:val="24"/>
        </w:rPr>
        <w:t>，本机关可以每日按罚款数额的百分之三加处罚款，加处罚款的数额不超过罚款本数。</w:t>
      </w:r>
    </w:p>
    <w:p>
      <w:pPr>
        <w:spacing w:line="360" w:lineRule="exact"/>
        <w:ind w:firstLine="555"/>
        <w:rPr>
          <w:sz w:val="24"/>
        </w:rPr>
      </w:pPr>
      <w:r>
        <w:rPr>
          <w:rFonts w:hint="eastAsia"/>
          <w:sz w:val="24"/>
        </w:rPr>
        <w:t>如果不服本处罚决定，可以在六十日内依法向</w:t>
      </w:r>
      <w:r>
        <w:rPr>
          <w:color w:val="000000"/>
          <w:sz w:val="24"/>
          <w:u w:val="single"/>
        </w:rPr>
        <w:t xml:space="preserve">       </w:t>
      </w:r>
      <w:r>
        <w:rPr>
          <w:rFonts w:hint="eastAsia"/>
          <w:sz w:val="24"/>
        </w:rPr>
        <w:t>申请行政复议，或者在六个月内依法向</w:t>
      </w:r>
      <w:r>
        <w:rPr>
          <w:sz w:val="24"/>
          <w:u w:val="single"/>
        </w:rPr>
        <w:t xml:space="preserve">      </w:t>
      </w:r>
      <w:r>
        <w:rPr>
          <w:rFonts w:hint="eastAsia"/>
          <w:sz w:val="24"/>
        </w:rPr>
        <w:t>人民法院提起行政诉讼，但本决定不停止执行，法律另有规定的除外。逾期不申请行政复议、不提起行政诉讼又不履行的，本机关将依法申请人民法院强制执行。</w:t>
      </w:r>
    </w:p>
    <w:p>
      <w:pPr>
        <w:spacing w:line="360" w:lineRule="exact"/>
        <w:ind w:firstLine="480" w:firstLineChars="200"/>
        <w:rPr>
          <w:sz w:val="24"/>
        </w:rPr>
      </w:pPr>
      <w:r>
        <w:rPr>
          <w:rFonts w:hint="eastAsia"/>
          <w:sz w:val="24"/>
        </w:rPr>
        <w:t>本行政处罚决定作出前，执法人员已向你（单位）出示执法证件，告知你（单位）作出处罚决定的事实、理由和依据，并告知你（单位）依法享有的陈述权和申辩权。</w:t>
      </w:r>
    </w:p>
    <w:p>
      <w:pPr>
        <w:spacing w:line="360" w:lineRule="exact"/>
        <w:ind w:firstLine="480" w:firstLineChars="200"/>
        <w:rPr>
          <w:sz w:val="24"/>
        </w:rPr>
      </w:pPr>
      <w:r>
        <w:rPr>
          <w:rFonts w:hint="eastAsia"/>
          <w:sz w:val="24"/>
        </w:rPr>
        <w:t>当事人或其代理人签名：</w:t>
      </w:r>
      <w:r>
        <w:rPr>
          <w:sz w:val="24"/>
          <w:u w:val="single"/>
        </w:rPr>
        <w:t xml:space="preserve">         </w:t>
      </w:r>
      <w:r>
        <w:rPr>
          <w:sz w:val="24"/>
        </w:rPr>
        <w:t xml:space="preserve">   </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pPr>
        <w:spacing w:line="360" w:lineRule="exact"/>
        <w:ind w:firstLine="480" w:firstLineChars="200"/>
        <w:rPr>
          <w:sz w:val="24"/>
          <w:u w:val="single"/>
        </w:rPr>
      </w:pPr>
      <w:r>
        <w:rPr>
          <w:rFonts w:hint="eastAsia"/>
          <w:sz w:val="24"/>
        </w:rPr>
        <w:t>执法人员签名：</w:t>
      </w:r>
      <w:r>
        <w:rPr>
          <w:sz w:val="24"/>
          <w:u w:val="single"/>
        </w:rPr>
        <w:t xml:space="preserve">         </w:t>
      </w:r>
      <w:r>
        <w:rPr>
          <w:rFonts w:hint="eastAsia"/>
          <w:sz w:val="24"/>
        </w:rPr>
        <w:t>、</w:t>
      </w:r>
      <w:r>
        <w:rPr>
          <w:sz w:val="24"/>
          <w:u w:val="single"/>
        </w:rPr>
        <w:t xml:space="preserve">         </w:t>
      </w:r>
    </w:p>
    <w:p>
      <w:pPr>
        <w:spacing w:line="360" w:lineRule="exact"/>
        <w:ind w:firstLine="300" w:firstLineChars="200"/>
        <w:rPr>
          <w:sz w:val="15"/>
          <w:szCs w:val="15"/>
        </w:rPr>
      </w:pPr>
    </w:p>
    <w:p>
      <w:pPr>
        <w:tabs>
          <w:tab w:val="left" w:pos="4500"/>
          <w:tab w:val="right" w:pos="7088"/>
        </w:tabs>
        <w:spacing w:line="360" w:lineRule="exact"/>
        <w:ind w:right="1218" w:rightChars="580" w:firstLine="480" w:firstLineChars="200"/>
        <w:jc w:val="left"/>
        <w:rPr>
          <w:sz w:val="24"/>
        </w:rPr>
      </w:pPr>
      <w:r>
        <w:rPr>
          <w:rFonts w:ascii="宋体"/>
          <w:color w:val="000000"/>
          <w:sz w:val="24"/>
        </w:rPr>
        <w:tab/>
      </w:r>
      <w:r>
        <w:rPr>
          <w:rFonts w:ascii="宋体"/>
          <w:color w:val="000000"/>
          <w:sz w:val="24"/>
          <w:u w:val="single"/>
        </w:rPr>
        <w:tab/>
      </w:r>
      <w:r>
        <w:rPr>
          <w:rFonts w:hint="eastAsia" w:ascii="宋体" w:hAnsi="宋体"/>
          <w:color w:val="000000"/>
          <w:sz w:val="24"/>
        </w:rPr>
        <w:t>交通局</w:t>
      </w:r>
      <w:r>
        <w:rPr>
          <w:rFonts w:hint="eastAsia"/>
          <w:sz w:val="24"/>
        </w:rPr>
        <w:t>（印章）</w:t>
      </w:r>
    </w:p>
    <w:p>
      <w:pPr>
        <w:wordWrap w:val="0"/>
        <w:spacing w:line="360" w:lineRule="exact"/>
        <w:ind w:right="1218" w:rightChars="580" w:firstLine="480" w:firstLineChars="200"/>
        <w:jc w:val="right"/>
        <w:rPr>
          <w:sz w:val="24"/>
        </w:rPr>
      </w:pPr>
      <w:r>
        <w:rPr>
          <w:sz w:val="24"/>
          <w:u w:val="single"/>
        </w:rPr>
        <w:t xml:space="preserve">      </w:t>
      </w:r>
      <w:r>
        <mc:AlternateContent>
          <mc:Choice Requires="wps">
            <w:drawing>
              <wp:anchor distT="0" distB="0" distL="114300" distR="114300" simplePos="0" relativeHeight="251660288" behindDoc="0" locked="0" layoutInCell="1" allowOverlap="1">
                <wp:simplePos x="0" y="0"/>
                <wp:positionH relativeFrom="column">
                  <wp:posOffset>-279400</wp:posOffset>
                </wp:positionH>
                <wp:positionV relativeFrom="paragraph">
                  <wp:posOffset>248920</wp:posOffset>
                </wp:positionV>
                <wp:extent cx="5829935"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829935"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22pt;margin-top:19.6pt;height:0pt;width:459.05pt;z-index:251660288;mso-width-relative:page;mso-height-relative:page;" filled="f" stroked="t" coordsize="21600,21600" o:gfxdata="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837oQ&#10;1gAAAAkBAAAPAAAAAAAAAAEAIAAAACIAAABkcnMvZG93bnJldi54bWxQSwECFAAUAAAACACHTuJA&#10;g8nj7eoBAAC5AwAADgAAAAAAAAABACAAAAAlAQAAZHJzL2Uyb0RvYy54bWxQSwUGAAAAAAYABgBZ&#10;AQAAgQUAAAAA&#10;">
                <v:path arrowok="t"/>
                <v:fill on="f" focussize="0,0"/>
                <v:stroke weight="1.5pt"/>
                <v:imagedata o:title=""/>
                <o:lock v:ext="edit" aspectratio="f"/>
              </v:line>
            </w:pict>
          </mc:Fallback>
        </mc:AlternateConten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pPr>
        <w:rPr>
          <w:rFonts w:ascii="宋体" w:hAnsi="宋体"/>
          <w:b/>
          <w:szCs w:val="21"/>
        </w:rPr>
      </w:pPr>
      <w:r>
        <w:rPr>
          <w:rFonts w:hint="eastAsia" w:ascii="宋体" w:hAnsi="宋体"/>
          <w:szCs w:val="21"/>
        </w:rPr>
        <w:t>本文书一式二份，一份存根，一份交当事人或其代理人。</w:t>
      </w:r>
    </w:p>
    <w:p>
      <w:pPr>
        <w:rPr>
          <w:rFonts w:ascii="方正仿宋_GBK" w:eastAsia="方正仿宋_GBK"/>
          <w:sz w:val="32"/>
          <w:szCs w:val="32"/>
        </w:rPr>
      </w:pPr>
    </w:p>
    <w:p>
      <w:pPr>
        <w:rPr>
          <w:rFonts w:ascii="方正仿宋_GBK" w:eastAsia="方正仿宋_GBK"/>
          <w:sz w:val="32"/>
          <w:szCs w:val="32"/>
        </w:rPr>
      </w:pPr>
    </w:p>
    <w:p>
      <w:pPr>
        <w:rPr>
          <w:rFonts w:hint="eastAsia"/>
          <w:lang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140335</wp:posOffset>
              </wp:positionV>
              <wp:extent cx="5615940" cy="0"/>
              <wp:effectExtent l="0" t="10795" r="3810" b="177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11.05pt;height:0pt;width:442.2pt;z-index:251661312;mso-width-relative:page;mso-height-relative:page;" filled="f" stroked="t" coordsize="21600,21600" o:gfxdata="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fIVU9MAAAAH&#10;AQAADwAAAAAAAAABACAAAAAiAAAAZHJzL2Rvd25yZXYueG1sUEsBAhQAFAAAAAgAh07iQAlkppHo&#10;AQAAtAMAAA4AAAAAAAAAAQAgAAAAIgEAAGRycy9lMm9Eb2MueG1sUEsFBgAAAAAGAAYAWQEAAHwF&#10;AAAAAA==&#10;">
              <v:fill on="f" focussize="0,0"/>
              <v:stroke weight="1.75pt" color="#005192 [3204]" miterlimit="8" joinstyle="miter"/>
              <v:imagedata o:title=""/>
              <o:lock v:ext="edit" aspectratio="f"/>
            </v:line>
          </w:pict>
        </mc:Fallback>
      </mc:AlternateContent>
    </w:r>
  </w:p>
  <w:p>
    <w:pPr>
      <w:pStyle w:val="5"/>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重庆市交通局发布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462280</wp:posOffset>
              </wp:positionV>
              <wp:extent cx="5615940" cy="1143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9pt;width:442.2pt;z-index:251660288;mso-width-relative:page;mso-height-relative:page;" filled="f" stroked="t" coordsize="21600,21600" o:gfxdata="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IA7KHUAAAABwEAAA8AAAAAAAAAAQAgAAAAIgAAAGRycy9kb3ducmV2LnhtbFBLAQIU&#10;ABQAAAAIAIdO4kD+BNfB9wEAAMEDAAAOAAAAAAAAAAEAIAAAACMBAABkcnMvZTJvRG9jLnhtbFBL&#10;BQYAAAAABgAGAFkBAACM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重庆市交通局</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YTdmOWQ5MmM1YzE2OGQ1Yjk5OWYzYzEwZWMxYjcifQ=="/>
  </w:docVars>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3742125"/>
    <w:rsid w:val="152D2DCA"/>
    <w:rsid w:val="187168EA"/>
    <w:rsid w:val="196673CA"/>
    <w:rsid w:val="1CF734C9"/>
    <w:rsid w:val="1DEC284C"/>
    <w:rsid w:val="1E6523AC"/>
    <w:rsid w:val="1FC777E1"/>
    <w:rsid w:val="22440422"/>
    <w:rsid w:val="22BB4BBB"/>
    <w:rsid w:val="25EB1AF4"/>
    <w:rsid w:val="2C6D42C9"/>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2022-06-15T09:25:50Z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AA77C399DB2447568FA216FD5FE72210</vt:lpwstr>
  </property>
</Properties>
</file>