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18D89EA">
      <w:pPr>
        <w:spacing w:line="1600" w:lineRule="exact"/>
        <w:jc w:val="center"/>
        <w:outlineLvl w:val="0"/>
        <w:rPr>
          <w:rFonts w:hint="eastAsia" w:ascii="方正黑体_GBK" w:eastAsia="方正黑体_GBK"/>
          <w:color w:val="auto"/>
          <w:sz w:val="84"/>
          <w:szCs w:val="84"/>
          <w:lang w:eastAsia="zh-CN"/>
        </w:rPr>
      </w:pPr>
      <w:bookmarkStart w:id="136" w:name="_GoBack"/>
      <w:r>
        <w:rPr>
          <w:rFonts w:hint="eastAsia" w:ascii="方正黑体_GBK" w:eastAsia="方正黑体_GBK"/>
          <w:color w:val="auto"/>
          <w:sz w:val="84"/>
          <w:szCs w:val="84"/>
        </w:rPr>
        <w:t>重庆市</w:t>
      </w:r>
      <w:r>
        <w:rPr>
          <w:rFonts w:hint="eastAsia" w:ascii="方正黑体_GBK" w:eastAsia="方正黑体_GBK"/>
          <w:color w:val="auto"/>
          <w:sz w:val="84"/>
          <w:szCs w:val="84"/>
          <w:lang w:eastAsia="zh-CN"/>
        </w:rPr>
        <w:t>乌江航道管理处</w:t>
      </w:r>
    </w:p>
    <w:p w14:paraId="24BFD759">
      <w:pPr>
        <w:spacing w:line="1600" w:lineRule="exact"/>
        <w:jc w:val="center"/>
        <w:outlineLvl w:val="0"/>
        <w:rPr>
          <w:rFonts w:hint="eastAsia" w:ascii="方正黑体_GBK" w:eastAsia="方正黑体_GBK"/>
          <w:color w:val="auto"/>
          <w:sz w:val="84"/>
          <w:szCs w:val="84"/>
        </w:rPr>
      </w:pPr>
      <w:r>
        <w:rPr>
          <w:rFonts w:hint="eastAsia" w:ascii="方正黑体_GBK" w:eastAsia="方正黑体_GBK"/>
          <w:color w:val="auto"/>
          <w:sz w:val="84"/>
          <w:szCs w:val="84"/>
        </w:rPr>
        <w:t>政府采购</w:t>
      </w:r>
    </w:p>
    <w:p w14:paraId="4A313965">
      <w:pPr>
        <w:jc w:val="center"/>
        <w:rPr>
          <w:rFonts w:hint="eastAsia" w:ascii="宋体" w:hAnsi="宋体"/>
          <w:color w:val="auto"/>
          <w:sz w:val="84"/>
          <w:szCs w:val="84"/>
        </w:rPr>
      </w:pPr>
    </w:p>
    <w:p w14:paraId="5AA48DEA">
      <w:pPr>
        <w:spacing w:line="1600" w:lineRule="exact"/>
        <w:jc w:val="center"/>
        <w:outlineLvl w:val="0"/>
        <w:rPr>
          <w:rFonts w:hint="eastAsia" w:ascii="方正黑体_GBK" w:hAnsi="宋体" w:eastAsia="方正黑体_GBK"/>
          <w:color w:val="auto"/>
          <w:sz w:val="72"/>
          <w:szCs w:val="72"/>
        </w:rPr>
      </w:pPr>
      <w:r>
        <w:rPr>
          <w:rFonts w:hint="eastAsia" w:ascii="方正黑体_GBK" w:hAnsi="宋体" w:eastAsia="方正黑体_GBK"/>
          <w:color w:val="auto"/>
          <w:sz w:val="72"/>
          <w:szCs w:val="72"/>
        </w:rPr>
        <w:t>限额以下磋商评分采购文件</w:t>
      </w:r>
    </w:p>
    <w:p w14:paraId="410A6AEC">
      <w:pPr>
        <w:spacing w:line="700" w:lineRule="exact"/>
        <w:jc w:val="center"/>
        <w:rPr>
          <w:rFonts w:hint="eastAsia" w:ascii="黑体" w:eastAsia="黑体"/>
          <w:color w:val="auto"/>
          <w:sz w:val="32"/>
        </w:rPr>
      </w:pPr>
    </w:p>
    <w:p w14:paraId="1C812994">
      <w:pPr>
        <w:spacing w:line="700" w:lineRule="exact"/>
        <w:jc w:val="center"/>
        <w:rPr>
          <w:rFonts w:hint="eastAsia" w:ascii="黑体" w:eastAsia="黑体"/>
          <w:color w:val="auto"/>
          <w:sz w:val="32"/>
        </w:rPr>
      </w:pPr>
    </w:p>
    <w:p w14:paraId="178E8969">
      <w:pPr>
        <w:spacing w:line="700" w:lineRule="exact"/>
        <w:jc w:val="center"/>
        <w:rPr>
          <w:rFonts w:hint="eastAsia" w:ascii="黑体" w:eastAsia="黑体"/>
          <w:color w:val="auto"/>
          <w:sz w:val="32"/>
        </w:rPr>
      </w:pPr>
    </w:p>
    <w:p w14:paraId="4E641F98">
      <w:pPr>
        <w:spacing w:line="500" w:lineRule="exact"/>
        <w:ind w:firstLine="1440" w:firstLineChars="400"/>
        <w:jc w:val="left"/>
        <w:outlineLvl w:val="0"/>
        <w:rPr>
          <w:rFonts w:hint="default" w:ascii="方正小标宋_GBK" w:hAnsi="宋体" w:eastAsia="方正小标宋_GBK"/>
          <w:color w:val="auto"/>
          <w:sz w:val="36"/>
          <w:szCs w:val="36"/>
          <w:lang w:val="en-US" w:eastAsia="zh-CN"/>
        </w:rPr>
      </w:pPr>
      <w:r>
        <w:rPr>
          <w:rFonts w:hint="eastAsia" w:ascii="方正小标宋_GBK" w:hAnsi="宋体" w:eastAsia="方正小标宋_GBK"/>
          <w:color w:val="auto"/>
          <w:sz w:val="36"/>
          <w:szCs w:val="36"/>
        </w:rPr>
        <w:t>采购执行编号：</w:t>
      </w:r>
      <w:r>
        <w:rPr>
          <w:rFonts w:hint="eastAsia" w:ascii="方正小标宋_GBK" w:hAnsi="宋体" w:eastAsia="方正小标宋_GBK"/>
          <w:color w:val="auto"/>
          <w:sz w:val="36"/>
          <w:szCs w:val="36"/>
          <w:highlight w:val="none"/>
        </w:rPr>
        <w:t>WJ202</w:t>
      </w:r>
      <w:r>
        <w:rPr>
          <w:rFonts w:hint="eastAsia" w:ascii="方正小标宋_GBK" w:hAnsi="宋体" w:eastAsia="方正小标宋_GBK"/>
          <w:color w:val="auto"/>
          <w:sz w:val="36"/>
          <w:szCs w:val="36"/>
          <w:highlight w:val="none"/>
          <w:lang w:val="en-US" w:eastAsia="zh-CN"/>
        </w:rPr>
        <w:t>4</w:t>
      </w:r>
      <w:r>
        <w:rPr>
          <w:rFonts w:hint="eastAsia" w:ascii="方正小标宋_GBK" w:hAnsi="宋体" w:eastAsia="方正小标宋_GBK"/>
          <w:color w:val="auto"/>
          <w:sz w:val="36"/>
          <w:szCs w:val="36"/>
          <w:highlight w:val="none"/>
        </w:rPr>
        <w:t>0</w:t>
      </w:r>
      <w:r>
        <w:rPr>
          <w:rFonts w:hint="eastAsia" w:ascii="方正小标宋_GBK" w:hAnsi="宋体" w:eastAsia="方正小标宋_GBK"/>
          <w:color w:val="auto"/>
          <w:sz w:val="36"/>
          <w:szCs w:val="36"/>
          <w:highlight w:val="none"/>
          <w:lang w:val="en-US" w:eastAsia="zh-CN"/>
        </w:rPr>
        <w:t>09</w:t>
      </w:r>
    </w:p>
    <w:p w14:paraId="0B10F0CE">
      <w:pPr>
        <w:spacing w:line="500" w:lineRule="exact"/>
        <w:ind w:left="3234" w:leftChars="512" w:hanging="1800" w:hangingChars="500"/>
        <w:jc w:val="left"/>
        <w:outlineLvl w:val="0"/>
        <w:rPr>
          <w:rFonts w:hint="eastAsia" w:ascii="方正小标宋_GBK" w:hAnsi="宋体" w:eastAsia="方正小标宋_GBK"/>
          <w:color w:val="auto"/>
          <w:sz w:val="36"/>
          <w:szCs w:val="36"/>
          <w:lang w:eastAsia="zh-CN"/>
        </w:rPr>
      </w:pPr>
      <w:r>
        <w:rPr>
          <w:rFonts w:hint="eastAsia" w:ascii="方正小标宋_GBK" w:hAnsi="宋体" w:eastAsia="方正小标宋_GBK"/>
          <w:color w:val="auto"/>
          <w:sz w:val="36"/>
          <w:szCs w:val="36"/>
        </w:rPr>
        <w:t>项目名称</w:t>
      </w:r>
      <w:r>
        <w:rPr>
          <w:rFonts w:hint="eastAsia" w:ascii="方正小标宋_GBK" w:hAnsi="宋体" w:eastAsia="方正小标宋_GBK"/>
          <w:color w:val="auto"/>
          <w:sz w:val="36"/>
          <w:szCs w:val="36"/>
          <w:lang w:eastAsia="zh-CN"/>
        </w:rPr>
        <w:t>：2024年职工劳保服采购</w:t>
      </w:r>
    </w:p>
    <w:p w14:paraId="3F50C28A">
      <w:pPr>
        <w:spacing w:line="500" w:lineRule="exact"/>
        <w:ind w:firstLine="1440" w:firstLineChars="400"/>
        <w:jc w:val="left"/>
        <w:outlineLvl w:val="0"/>
        <w:rPr>
          <w:rFonts w:hint="eastAsia" w:ascii="方正小标宋_GBK" w:eastAsia="方正小标宋_GBK"/>
          <w:color w:val="auto"/>
          <w:sz w:val="36"/>
          <w:szCs w:val="36"/>
        </w:rPr>
      </w:pPr>
      <w:r>
        <w:rPr>
          <w:rFonts w:hint="eastAsia" w:ascii="方正小标宋_GBK" w:eastAsia="方正小标宋_GBK"/>
          <w:color w:val="auto"/>
          <w:sz w:val="36"/>
          <w:szCs w:val="36"/>
        </w:rPr>
        <w:t>采购人：重庆市乌江航道管理处</w:t>
      </w:r>
    </w:p>
    <w:p w14:paraId="09502AD7">
      <w:pPr>
        <w:spacing w:line="500" w:lineRule="exact"/>
        <w:ind w:firstLine="1440" w:firstLineChars="400"/>
        <w:jc w:val="left"/>
        <w:outlineLvl w:val="0"/>
        <w:rPr>
          <w:rFonts w:hint="eastAsia" w:ascii="方正小标宋_GBK" w:eastAsia="方正小标宋_GBK"/>
          <w:color w:val="auto"/>
          <w:sz w:val="36"/>
          <w:szCs w:val="36"/>
        </w:rPr>
      </w:pPr>
      <w:r>
        <w:rPr>
          <w:rFonts w:hint="eastAsia" w:ascii="方正小标宋_GBK" w:eastAsia="方正小标宋_GBK"/>
          <w:color w:val="auto"/>
          <w:sz w:val="36"/>
          <w:szCs w:val="36"/>
        </w:rPr>
        <w:t>采购代理机构：重庆华大工程管理有限公司</w:t>
      </w:r>
    </w:p>
    <w:p w14:paraId="164F611C">
      <w:pPr>
        <w:spacing w:line="500" w:lineRule="exact"/>
        <w:outlineLvl w:val="0"/>
        <w:rPr>
          <w:rFonts w:hint="eastAsia" w:ascii="方正小标宋_GBK" w:eastAsia="方正小标宋_GBK"/>
          <w:color w:val="auto"/>
          <w:sz w:val="36"/>
          <w:szCs w:val="36"/>
        </w:rPr>
      </w:pPr>
    </w:p>
    <w:p w14:paraId="790DAE22">
      <w:pPr>
        <w:spacing w:line="500" w:lineRule="exact"/>
        <w:outlineLvl w:val="0"/>
        <w:rPr>
          <w:rFonts w:hint="eastAsia" w:ascii="方正小标宋_GBK" w:eastAsia="方正小标宋_GBK"/>
          <w:color w:val="auto"/>
          <w:sz w:val="36"/>
          <w:szCs w:val="36"/>
        </w:rPr>
      </w:pPr>
    </w:p>
    <w:p w14:paraId="4844F3B0">
      <w:pPr>
        <w:spacing w:line="720" w:lineRule="exact"/>
        <w:jc w:val="center"/>
        <w:outlineLvl w:val="0"/>
        <w:rPr>
          <w:rFonts w:ascii="方正黑体_GBK" w:hAnsi="宋体" w:eastAsia="方正黑体_GBK"/>
          <w:color w:val="auto"/>
          <w:sz w:val="48"/>
          <w:szCs w:val="32"/>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r>
        <w:rPr>
          <w:rFonts w:hint="eastAsia" w:ascii="方正小标宋_GBK" w:hAnsi="宋体" w:eastAsia="方正小标宋_GBK"/>
          <w:color w:val="auto"/>
          <w:sz w:val="36"/>
          <w:szCs w:val="36"/>
        </w:rPr>
        <w:t>二〇二</w:t>
      </w:r>
      <w:r>
        <w:rPr>
          <w:rFonts w:hint="eastAsia" w:ascii="方正小标宋_GBK" w:hAnsi="宋体" w:eastAsia="方正小标宋_GBK"/>
          <w:color w:val="auto"/>
          <w:sz w:val="36"/>
          <w:szCs w:val="36"/>
          <w:lang w:eastAsia="zh-CN"/>
        </w:rPr>
        <w:t>四</w:t>
      </w:r>
      <w:r>
        <w:rPr>
          <w:rFonts w:hint="eastAsia" w:ascii="方正小标宋_GBK" w:hAnsi="宋体" w:eastAsia="方正小标宋_GBK"/>
          <w:color w:val="auto"/>
          <w:sz w:val="36"/>
          <w:szCs w:val="36"/>
        </w:rPr>
        <w:t>年</w:t>
      </w:r>
      <w:r>
        <w:rPr>
          <w:rFonts w:hint="eastAsia" w:ascii="方正小标宋_GBK" w:hAnsi="宋体" w:eastAsia="方正小标宋_GBK"/>
          <w:color w:val="auto"/>
          <w:sz w:val="36"/>
          <w:szCs w:val="36"/>
          <w:lang w:eastAsia="zh-CN"/>
        </w:rPr>
        <w:t>九</w:t>
      </w:r>
      <w:r>
        <w:rPr>
          <w:rFonts w:hint="eastAsia" w:ascii="方正小标宋_GBK" w:hAnsi="宋体" w:eastAsia="方正小标宋_GBK"/>
          <w:color w:val="auto"/>
          <w:sz w:val="36"/>
          <w:szCs w:val="36"/>
        </w:rPr>
        <w:t>月</w:t>
      </w:r>
    </w:p>
    <w:p w14:paraId="627A115B">
      <w:pPr>
        <w:pStyle w:val="3"/>
        <w:spacing w:line="360" w:lineRule="auto"/>
        <w:jc w:val="center"/>
        <w:rPr>
          <w:rFonts w:hint="eastAsia" w:ascii="方正小标宋_GBK" w:hAnsi="宋体" w:eastAsia="方正小标宋_GBK"/>
          <w:b w:val="0"/>
          <w:color w:val="auto"/>
          <w:szCs w:val="30"/>
        </w:rPr>
      </w:pPr>
      <w:bookmarkStart w:id="0" w:name="_Toc106030870"/>
      <w:bookmarkStart w:id="1" w:name="_Toc12789052"/>
      <w:bookmarkStart w:id="2" w:name="_Toc11641050"/>
      <w:bookmarkStart w:id="3" w:name="_Toc76462316"/>
      <w:r>
        <w:rPr>
          <w:rFonts w:hint="eastAsia" w:ascii="方正小标宋_GBK" w:hAnsi="宋体" w:eastAsia="方正小标宋_GBK"/>
          <w:b w:val="0"/>
          <w:color w:val="auto"/>
          <w:sz w:val="36"/>
          <w:szCs w:val="30"/>
        </w:rPr>
        <w:t>第一篇  采购邀请书</w:t>
      </w:r>
      <w:bookmarkEnd w:id="0"/>
      <w:bookmarkEnd w:id="1"/>
      <w:bookmarkEnd w:id="2"/>
      <w:bookmarkEnd w:id="3"/>
    </w:p>
    <w:p w14:paraId="232AD1F2">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重庆华大工程管理有限公司（以下简称：采购代理机构）接受重庆市乌江航道管理处（以下简称：采购人）的委托，对</w:t>
      </w:r>
      <w:r>
        <w:rPr>
          <w:rFonts w:hint="eastAsia" w:ascii="方正仿宋_GBK" w:hAnsi="宋体" w:eastAsia="方正仿宋_GBK"/>
          <w:color w:val="auto"/>
          <w:sz w:val="24"/>
          <w:szCs w:val="24"/>
          <w:lang w:eastAsia="zh-CN"/>
        </w:rPr>
        <w:t>2024年职工劳保服采购</w:t>
      </w:r>
      <w:r>
        <w:rPr>
          <w:rFonts w:hint="eastAsia" w:ascii="方正仿宋_GBK" w:hAnsi="宋体" w:eastAsia="方正仿宋_GBK"/>
          <w:color w:val="auto"/>
          <w:sz w:val="24"/>
          <w:szCs w:val="24"/>
        </w:rPr>
        <w:t>进行限额以下磋商评分采购。欢迎有资格的供应商前来参与竞争。</w:t>
      </w:r>
    </w:p>
    <w:p w14:paraId="1CB424E6">
      <w:pPr>
        <w:pStyle w:val="3"/>
        <w:adjustRightInd w:val="0"/>
        <w:snapToGrid w:val="0"/>
        <w:spacing w:before="0" w:after="0" w:line="400" w:lineRule="exact"/>
        <w:ind w:firstLine="480" w:firstLineChars="200"/>
        <w:rPr>
          <w:rFonts w:ascii="方正仿宋_GBK" w:hAnsi="宋体" w:eastAsia="方正仿宋_GBK"/>
          <w:color w:val="auto"/>
          <w:sz w:val="24"/>
        </w:rPr>
      </w:pPr>
      <w:bookmarkStart w:id="4" w:name="_Toc313893526"/>
      <w:bookmarkStart w:id="5" w:name="_Toc106030871"/>
      <w:bookmarkStart w:id="6" w:name="_Toc317775175"/>
      <w:bookmarkStart w:id="7" w:name="_Toc76462317"/>
      <w:r>
        <w:rPr>
          <w:rFonts w:hint="eastAsia" w:ascii="方正仿宋_GBK" w:hAnsi="宋体" w:eastAsia="方正仿宋_GBK"/>
          <w:color w:val="auto"/>
          <w:sz w:val="24"/>
        </w:rPr>
        <w:t>一、限额以下磋商评分内容</w:t>
      </w:r>
      <w:bookmarkEnd w:id="4"/>
      <w:bookmarkEnd w:id="5"/>
      <w:bookmarkEnd w:id="6"/>
      <w:bookmarkEnd w:id="7"/>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701"/>
        <w:gridCol w:w="2410"/>
        <w:gridCol w:w="2516"/>
      </w:tblGrid>
      <w:tr w14:paraId="78DA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660" w:type="dxa"/>
            <w:tcBorders>
              <w:top w:val="single" w:color="auto" w:sz="4" w:space="0"/>
              <w:left w:val="single" w:color="auto" w:sz="4" w:space="0"/>
              <w:right w:val="single" w:color="auto" w:sz="4" w:space="0"/>
            </w:tcBorders>
            <w:noWrap w:val="0"/>
            <w:vAlign w:val="center"/>
          </w:tcPr>
          <w:p w14:paraId="6CF64127">
            <w:pPr>
              <w:widowControl/>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包号及名称</w:t>
            </w:r>
          </w:p>
        </w:tc>
        <w:tc>
          <w:tcPr>
            <w:tcW w:w="1701" w:type="dxa"/>
            <w:tcBorders>
              <w:top w:val="single" w:color="auto" w:sz="4" w:space="0"/>
              <w:left w:val="single" w:color="auto" w:sz="4" w:space="0"/>
              <w:right w:val="single" w:color="auto" w:sz="4" w:space="0"/>
            </w:tcBorders>
            <w:noWrap w:val="0"/>
            <w:vAlign w:val="center"/>
          </w:tcPr>
          <w:p w14:paraId="214FFC88">
            <w:pPr>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最高限价（万元）</w:t>
            </w:r>
          </w:p>
        </w:tc>
        <w:tc>
          <w:tcPr>
            <w:tcW w:w="2410" w:type="dxa"/>
            <w:tcBorders>
              <w:top w:val="single" w:color="auto" w:sz="4" w:space="0"/>
              <w:left w:val="single" w:color="auto" w:sz="4" w:space="0"/>
              <w:right w:val="single" w:color="auto" w:sz="4" w:space="0"/>
            </w:tcBorders>
            <w:noWrap w:val="0"/>
            <w:vAlign w:val="center"/>
          </w:tcPr>
          <w:p w14:paraId="6DBAAB03">
            <w:pPr>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成交供应商数量（名）</w:t>
            </w:r>
          </w:p>
        </w:tc>
        <w:tc>
          <w:tcPr>
            <w:tcW w:w="2516" w:type="dxa"/>
            <w:tcBorders>
              <w:top w:val="single" w:color="auto" w:sz="4" w:space="0"/>
              <w:left w:val="single" w:color="auto" w:sz="4" w:space="0"/>
              <w:right w:val="single" w:color="auto" w:sz="4" w:space="0"/>
            </w:tcBorders>
            <w:noWrap w:val="0"/>
            <w:vAlign w:val="center"/>
          </w:tcPr>
          <w:p w14:paraId="01B0364A">
            <w:pPr>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备注</w:t>
            </w:r>
          </w:p>
        </w:tc>
      </w:tr>
      <w:tr w14:paraId="335F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660" w:type="dxa"/>
            <w:tcBorders>
              <w:top w:val="single" w:color="auto" w:sz="4" w:space="0"/>
              <w:left w:val="single" w:color="auto" w:sz="4" w:space="0"/>
              <w:right w:val="single" w:color="auto" w:sz="4" w:space="0"/>
            </w:tcBorders>
            <w:noWrap w:val="0"/>
            <w:vAlign w:val="center"/>
          </w:tcPr>
          <w:p w14:paraId="74F848FC">
            <w:pPr>
              <w:widowControl/>
              <w:jc w:val="center"/>
              <w:rPr>
                <w:rFonts w:hint="eastAsia" w:ascii="方正仿宋_GBK" w:hAnsi="宋体" w:eastAsia="方正仿宋_GBK" w:cs="宋体"/>
                <w:color w:val="auto"/>
                <w:kern w:val="0"/>
                <w:sz w:val="21"/>
                <w:szCs w:val="24"/>
              </w:rPr>
            </w:pPr>
            <w:bookmarkStart w:id="8" w:name="_Hlk344477914"/>
            <w:r>
              <w:rPr>
                <w:rFonts w:hint="eastAsia" w:ascii="方正仿宋_GBK" w:hAnsi="宋体" w:eastAsia="方正仿宋_GBK" w:cs="宋体"/>
                <w:color w:val="auto"/>
                <w:kern w:val="0"/>
                <w:sz w:val="21"/>
                <w:szCs w:val="24"/>
                <w:lang w:eastAsia="zh-CN"/>
              </w:rPr>
              <w:t>2024年职工劳保服采购</w:t>
            </w:r>
          </w:p>
        </w:tc>
        <w:tc>
          <w:tcPr>
            <w:tcW w:w="1701" w:type="dxa"/>
            <w:tcBorders>
              <w:top w:val="single" w:color="auto" w:sz="4" w:space="0"/>
              <w:left w:val="single" w:color="auto" w:sz="4" w:space="0"/>
              <w:right w:val="single" w:color="auto" w:sz="4" w:space="0"/>
            </w:tcBorders>
            <w:noWrap w:val="0"/>
            <w:vAlign w:val="center"/>
          </w:tcPr>
          <w:p w14:paraId="334AAD7A">
            <w:pPr>
              <w:widowControl/>
              <w:jc w:val="center"/>
              <w:rPr>
                <w:rFonts w:hint="default" w:ascii="方正仿宋_GBK" w:hAnsi="宋体" w:eastAsia="方正仿宋_GBK" w:cs="宋体"/>
                <w:color w:val="auto"/>
                <w:kern w:val="0"/>
                <w:sz w:val="21"/>
                <w:szCs w:val="24"/>
                <w:lang w:val="en-US"/>
              </w:rPr>
            </w:pPr>
            <w:r>
              <w:rPr>
                <w:rFonts w:hint="eastAsia" w:ascii="方正仿宋_GBK" w:hAnsi="宋体" w:eastAsia="方正仿宋_GBK" w:cs="宋体"/>
                <w:color w:val="auto"/>
                <w:kern w:val="0"/>
                <w:sz w:val="21"/>
                <w:szCs w:val="24"/>
                <w:lang w:val="en-US" w:eastAsia="zh-CN"/>
              </w:rPr>
              <w:t>21.252</w:t>
            </w:r>
          </w:p>
        </w:tc>
        <w:tc>
          <w:tcPr>
            <w:tcW w:w="2410" w:type="dxa"/>
            <w:tcBorders>
              <w:top w:val="single" w:color="auto" w:sz="4" w:space="0"/>
              <w:left w:val="single" w:color="auto" w:sz="4" w:space="0"/>
              <w:right w:val="single" w:color="auto" w:sz="4" w:space="0"/>
            </w:tcBorders>
            <w:noWrap w:val="0"/>
            <w:vAlign w:val="center"/>
          </w:tcPr>
          <w:p w14:paraId="229982E0">
            <w:pPr>
              <w:widowControl/>
              <w:jc w:val="center"/>
              <w:rPr>
                <w:rFonts w:hint="eastAsia" w:ascii="方正仿宋_GBK" w:hAnsi="宋体" w:eastAsia="方正仿宋_GBK" w:cs="宋体"/>
                <w:color w:val="auto"/>
                <w:kern w:val="0"/>
                <w:sz w:val="21"/>
                <w:szCs w:val="24"/>
                <w:lang w:val="en-US" w:eastAsia="zh-CN"/>
              </w:rPr>
            </w:pPr>
            <w:r>
              <w:rPr>
                <w:rFonts w:hint="eastAsia" w:ascii="方正仿宋_GBK" w:hAnsi="宋体" w:eastAsia="方正仿宋_GBK" w:cs="宋体"/>
                <w:color w:val="auto"/>
                <w:kern w:val="0"/>
                <w:sz w:val="21"/>
                <w:szCs w:val="24"/>
                <w:lang w:val="en-US" w:eastAsia="zh-CN"/>
              </w:rPr>
              <w:t>1</w:t>
            </w:r>
          </w:p>
        </w:tc>
        <w:tc>
          <w:tcPr>
            <w:tcW w:w="2516" w:type="dxa"/>
            <w:tcBorders>
              <w:top w:val="single" w:color="auto" w:sz="4" w:space="0"/>
              <w:left w:val="single" w:color="auto" w:sz="4" w:space="0"/>
              <w:right w:val="single" w:color="auto" w:sz="4" w:space="0"/>
            </w:tcBorders>
            <w:noWrap w:val="0"/>
            <w:vAlign w:val="center"/>
          </w:tcPr>
          <w:p w14:paraId="1D2AE293">
            <w:pPr>
              <w:jc w:val="center"/>
              <w:rPr>
                <w:rFonts w:hint="eastAsia" w:ascii="方正仿宋_GBK" w:hAnsi="宋体" w:eastAsia="方正仿宋_GBK"/>
                <w:b/>
                <w:color w:val="auto"/>
                <w:sz w:val="21"/>
                <w:szCs w:val="21"/>
              </w:rPr>
            </w:pPr>
          </w:p>
        </w:tc>
      </w:tr>
      <w:bookmarkEnd w:id="8"/>
    </w:tbl>
    <w:p w14:paraId="055368D8">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9" w:name="_Toc76462318"/>
      <w:bookmarkStart w:id="10" w:name="_Toc106030872"/>
      <w:bookmarkStart w:id="11" w:name="_Toc373860293"/>
      <w:bookmarkStart w:id="12" w:name="_Toc317775178"/>
      <w:r>
        <w:rPr>
          <w:rFonts w:hint="eastAsia" w:ascii="方正仿宋_GBK" w:hAnsi="宋体" w:eastAsia="方正仿宋_GBK"/>
          <w:color w:val="auto"/>
          <w:sz w:val="24"/>
        </w:rPr>
        <w:t>二、资金来源</w:t>
      </w:r>
      <w:bookmarkEnd w:id="9"/>
      <w:bookmarkEnd w:id="10"/>
    </w:p>
    <w:p w14:paraId="174CD992">
      <w:pPr>
        <w:spacing w:line="400" w:lineRule="exact"/>
        <w:ind w:firstLine="480" w:firstLineChars="200"/>
        <w:rPr>
          <w:rFonts w:hint="eastAsia" w:ascii="方正仿宋_GBK" w:hAnsi="宋体" w:eastAsia="方正仿宋_GBK"/>
          <w:color w:val="auto"/>
          <w:sz w:val="24"/>
          <w:szCs w:val="24"/>
        </w:rPr>
      </w:pPr>
      <w:r>
        <w:rPr>
          <w:rFonts w:hint="eastAsia" w:ascii="方正仿宋_GBK" w:hAnsi="仿宋" w:eastAsia="方正仿宋_GBK"/>
          <w:color w:val="auto"/>
          <w:sz w:val="24"/>
          <w:szCs w:val="24"/>
        </w:rPr>
        <w:t>财政预算资金，预算金额为</w:t>
      </w:r>
      <w:r>
        <w:rPr>
          <w:rFonts w:hint="eastAsia" w:ascii="方正仿宋_GBK" w:hAnsi="仿宋" w:eastAsia="方正仿宋_GBK"/>
          <w:color w:val="auto"/>
          <w:sz w:val="24"/>
          <w:szCs w:val="24"/>
          <w:lang w:val="en-US" w:eastAsia="zh-CN"/>
        </w:rPr>
        <w:t xml:space="preserve"> 21.252</w:t>
      </w:r>
      <w:r>
        <w:rPr>
          <w:rFonts w:hint="eastAsia" w:ascii="方正仿宋_GBK" w:hAnsi="仿宋" w:eastAsia="方正仿宋_GBK"/>
          <w:color w:val="auto"/>
          <w:sz w:val="24"/>
          <w:szCs w:val="24"/>
        </w:rPr>
        <w:t>万元</w:t>
      </w:r>
      <w:r>
        <w:rPr>
          <w:rFonts w:hint="eastAsia" w:ascii="方正仿宋_GBK" w:hAnsi="宋体" w:eastAsia="方正仿宋_GBK"/>
          <w:color w:val="auto"/>
          <w:sz w:val="24"/>
          <w:szCs w:val="24"/>
        </w:rPr>
        <w:t>。</w:t>
      </w:r>
    </w:p>
    <w:p w14:paraId="2FDA052C">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3" w:name="_Toc76462319"/>
      <w:bookmarkStart w:id="14" w:name="_Toc106030873"/>
      <w:r>
        <w:rPr>
          <w:rFonts w:hint="eastAsia" w:ascii="方正仿宋_GBK" w:hAnsi="宋体" w:eastAsia="方正仿宋_GBK"/>
          <w:color w:val="auto"/>
          <w:sz w:val="24"/>
        </w:rPr>
        <w:t>三、供应商资格条件</w:t>
      </w:r>
      <w:bookmarkEnd w:id="13"/>
      <w:bookmarkEnd w:id="14"/>
    </w:p>
    <w:p w14:paraId="3795470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（一）满足《中华人民共和国政府采购法》第二十二条规定；</w:t>
      </w:r>
    </w:p>
    <w:p w14:paraId="1B1FA9C5">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（二）本项目的特定资格要求：</w:t>
      </w:r>
      <w:r>
        <w:rPr>
          <w:rFonts w:hint="eastAsia" w:ascii="方正仿宋_GBK" w:hAnsi="宋体" w:eastAsia="方正仿宋_GBK"/>
          <w:color w:val="auto"/>
          <w:sz w:val="24"/>
          <w:szCs w:val="24"/>
          <w:lang w:val="en-US" w:eastAsia="zh-CN"/>
        </w:rPr>
        <w:t>无。</w:t>
      </w:r>
    </w:p>
    <w:p w14:paraId="1062B3F8">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5" w:name="_Toc76462320"/>
      <w:bookmarkStart w:id="16" w:name="_Toc106030874"/>
      <w:r>
        <w:rPr>
          <w:rFonts w:hint="eastAsia" w:ascii="方正仿宋_GBK" w:hAnsi="宋体" w:eastAsia="方正仿宋_GBK"/>
          <w:color w:val="auto"/>
          <w:sz w:val="24"/>
        </w:rPr>
        <w:t>四、限额以下磋商评分有关说明</w:t>
      </w:r>
      <w:bookmarkEnd w:id="11"/>
      <w:bookmarkEnd w:id="15"/>
      <w:bookmarkEnd w:id="16"/>
    </w:p>
    <w:p w14:paraId="78BF637C">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（一）凡有意参加竞争的供应商，请在重庆市交通</w:t>
      </w:r>
      <w:r>
        <w:rPr>
          <w:rFonts w:hint="eastAsia" w:ascii="方正仿宋_GBK" w:hAnsi="宋体" w:eastAsia="方正仿宋_GBK"/>
          <w:color w:val="auto"/>
          <w:sz w:val="24"/>
          <w:szCs w:val="24"/>
          <w:lang w:eastAsia="zh-CN"/>
        </w:rPr>
        <w:t>运输委员会</w:t>
      </w:r>
      <w:r>
        <w:rPr>
          <w:rFonts w:hint="eastAsia" w:ascii="方正仿宋_GBK" w:hAnsi="宋体" w:eastAsia="方正仿宋_GBK"/>
          <w:color w:val="auto"/>
          <w:sz w:val="24"/>
          <w:szCs w:val="24"/>
        </w:rPr>
        <w:t>（https://jtj.cq.gov.cn）上下载本项目采购文件以及图纸、澄清等限额以下磋商评分前公布的所有项目资料，无论供应商下载或领取与否，均视为已知晓所有限额以下磋商评分实质性要求内容。</w:t>
      </w:r>
    </w:p>
    <w:p w14:paraId="0B67D33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（二）限额以下磋商评分公告期限：</w:t>
      </w:r>
    </w:p>
    <w:p w14:paraId="20FC3759">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自采购公告发布之日起三个工作日</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13</w:t>
      </w:r>
      <w:r>
        <w:rPr>
          <w:rFonts w:hint="eastAsia" w:ascii="方正仿宋_GBK" w:hAnsi="宋体" w:eastAsia="方正仿宋_GBK" w:cs="Times New Roman"/>
          <w:color w:val="auto"/>
          <w:sz w:val="24"/>
          <w:szCs w:val="24"/>
        </w:rPr>
        <w:t>日17:30）</w:t>
      </w:r>
      <w:r>
        <w:rPr>
          <w:rFonts w:hint="eastAsia" w:ascii="方正仿宋_GBK" w:hAnsi="宋体" w:eastAsia="方正仿宋_GBK"/>
          <w:color w:val="auto"/>
          <w:sz w:val="24"/>
          <w:szCs w:val="24"/>
        </w:rPr>
        <w:t>。</w:t>
      </w:r>
    </w:p>
    <w:p w14:paraId="2112D351">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报名方式：</w:t>
      </w:r>
    </w:p>
    <w:p w14:paraId="08F82362">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（1）在</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公告期限内到重庆华大工程管理有限公司报名并领取采购文件。</w:t>
      </w:r>
    </w:p>
    <w:p w14:paraId="36440EEF">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方式一：将《发售登记表》递交现场报名。</w:t>
      </w:r>
    </w:p>
    <w:p w14:paraId="5644DF2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方式二：将《发售登记表》盖章后发送至</w:t>
      </w:r>
      <w:r>
        <w:rPr>
          <w:rFonts w:hint="eastAsia" w:ascii="方正仿宋_GBK" w:hAnsi="宋体" w:eastAsia="方正仿宋_GBK"/>
          <w:color w:val="auto"/>
          <w:sz w:val="24"/>
          <w:szCs w:val="24"/>
          <w:lang w:val="en-US" w:eastAsia="zh-CN"/>
        </w:rPr>
        <w:t>114735376</w:t>
      </w:r>
      <w:r>
        <w:rPr>
          <w:rFonts w:hint="eastAsia" w:ascii="方正仿宋_GBK" w:hAnsi="宋体" w:eastAsia="方正仿宋_GBK"/>
          <w:color w:val="auto"/>
          <w:sz w:val="24"/>
          <w:szCs w:val="24"/>
        </w:rPr>
        <w:t>@qq.com。</w:t>
      </w:r>
    </w:p>
    <w:p w14:paraId="5326F78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（2）供应商须满足以下两种要求，其响应文件才被接受：</w:t>
      </w:r>
    </w:p>
    <w:p w14:paraId="0FDF4AA5">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1、按时递交了响应文件；</w:t>
      </w:r>
    </w:p>
    <w:p w14:paraId="62E5A760">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2、按时报名签到；</w:t>
      </w:r>
    </w:p>
    <w:p w14:paraId="1B12EB55">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（3）本</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文件规定的时间为北京时间。</w:t>
      </w:r>
    </w:p>
    <w:p w14:paraId="606F39F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（4）超过</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截止时间、不按本</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文件规定密封的响应文件，或不按</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文件规定提交有效足额</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保证金的供应商，均视为不响应</w:t>
      </w:r>
      <w:r>
        <w:rPr>
          <w:rFonts w:hint="eastAsia" w:ascii="方正仿宋_GBK" w:hAnsi="宋体" w:eastAsia="方正仿宋_GBK"/>
          <w:color w:val="auto"/>
          <w:sz w:val="24"/>
          <w:szCs w:val="24"/>
          <w:lang w:eastAsia="zh-CN"/>
        </w:rPr>
        <w:t>采购</w:t>
      </w:r>
      <w:r>
        <w:rPr>
          <w:rFonts w:hint="eastAsia" w:ascii="方正仿宋_GBK" w:hAnsi="宋体" w:eastAsia="方正仿宋_GBK"/>
          <w:color w:val="auto"/>
          <w:sz w:val="24"/>
          <w:szCs w:val="24"/>
        </w:rPr>
        <w:t>文件要求，为无效响应。</w:t>
      </w:r>
    </w:p>
    <w:p w14:paraId="5108942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olor w:val="auto"/>
          <w:sz w:val="24"/>
          <w:szCs w:val="24"/>
          <w:lang w:eastAsia="zh-CN"/>
        </w:rPr>
        <w:t>采购文件</w:t>
      </w:r>
      <w:r>
        <w:rPr>
          <w:rFonts w:hint="eastAsia" w:ascii="方正仿宋_GBK" w:hAnsi="宋体" w:eastAsia="方正仿宋_GBK"/>
          <w:color w:val="auto"/>
          <w:sz w:val="24"/>
          <w:szCs w:val="24"/>
        </w:rPr>
        <w:t>售价：人民币500元/包。</w:t>
      </w:r>
    </w:p>
    <w:p w14:paraId="5042E82D">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提交方式：现金或微信或转账。</w:t>
      </w:r>
    </w:p>
    <w:p w14:paraId="6E7339C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转账信息：</w:t>
      </w:r>
    </w:p>
    <w:p w14:paraId="5946DA01">
      <w:pPr>
        <w:pageBreakBefore w:val="0"/>
        <w:widowControl w:val="0"/>
        <w:kinsoku/>
        <w:wordWrap/>
        <w:overflowPunct/>
        <w:topLinePunct w:val="0"/>
        <w:autoSpaceDE/>
        <w:autoSpaceDN/>
        <w:bidi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1、单位名称：重庆华大工程管理有限公司</w:t>
      </w:r>
    </w:p>
    <w:p w14:paraId="0CBE0957">
      <w:pPr>
        <w:pageBreakBefore w:val="0"/>
        <w:widowControl w:val="0"/>
        <w:kinsoku/>
        <w:wordWrap/>
        <w:overflowPunct/>
        <w:topLinePunct w:val="0"/>
        <w:autoSpaceDE/>
        <w:autoSpaceDN/>
        <w:bidi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2、单位开户行及账号：中国工商银行股份有限公司重庆枳城支行      3100234409000002238</w:t>
      </w:r>
    </w:p>
    <w:p w14:paraId="1890FE44">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（三）递交响应文件地点：重庆华大工程管理有限公司（涪陵区新城区建筑大厦3楼）</w:t>
      </w:r>
    </w:p>
    <w:p w14:paraId="5508FC78">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（四）提交响应文件截止时间：202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日北京时间</w:t>
      </w:r>
      <w:r>
        <w:rPr>
          <w:rFonts w:hint="eastAsia" w:ascii="方正仿宋_GBK" w:hAnsi="宋体" w:eastAsia="方正仿宋_GBK"/>
          <w:color w:val="auto"/>
          <w:sz w:val="24"/>
          <w:szCs w:val="24"/>
          <w:lang w:val="en-US" w:eastAsia="zh-CN"/>
        </w:rPr>
        <w:t>13:30</w:t>
      </w:r>
      <w:r>
        <w:rPr>
          <w:rFonts w:hint="eastAsia" w:ascii="方正仿宋_GBK" w:hAnsi="宋体" w:eastAsia="方正仿宋_GBK"/>
          <w:color w:val="auto"/>
          <w:sz w:val="24"/>
          <w:szCs w:val="24"/>
        </w:rPr>
        <w:t>时至</w:t>
      </w:r>
      <w:r>
        <w:rPr>
          <w:rFonts w:hint="eastAsia" w:ascii="方正仿宋_GBK" w:hAnsi="宋体" w:eastAsia="方正仿宋_GBK"/>
          <w:color w:val="auto"/>
          <w:sz w:val="24"/>
          <w:szCs w:val="24"/>
          <w:lang w:val="en-US" w:eastAsia="zh-CN"/>
        </w:rPr>
        <w:t>14:00</w:t>
      </w:r>
      <w:r>
        <w:rPr>
          <w:rFonts w:hint="eastAsia" w:ascii="方正仿宋_GBK" w:hAnsi="宋体" w:eastAsia="方正仿宋_GBK"/>
          <w:color w:val="auto"/>
          <w:sz w:val="24"/>
          <w:szCs w:val="24"/>
        </w:rPr>
        <w:t>时</w:t>
      </w:r>
    </w:p>
    <w:p w14:paraId="75E17AE7">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（五）评审开始时间：202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日北京时间</w:t>
      </w:r>
      <w:r>
        <w:rPr>
          <w:rFonts w:hint="eastAsia" w:ascii="方正仿宋_GBK" w:hAnsi="宋体" w:eastAsia="方正仿宋_GBK"/>
          <w:color w:val="auto"/>
          <w:sz w:val="24"/>
          <w:szCs w:val="24"/>
          <w:lang w:val="en-US" w:eastAsia="zh-CN"/>
        </w:rPr>
        <w:t>14:00</w:t>
      </w:r>
      <w:r>
        <w:rPr>
          <w:rFonts w:hint="eastAsia" w:ascii="方正仿宋_GBK" w:hAnsi="宋体" w:eastAsia="方正仿宋_GBK"/>
          <w:color w:val="auto"/>
          <w:sz w:val="24"/>
          <w:szCs w:val="24"/>
        </w:rPr>
        <w:t>时</w:t>
      </w:r>
    </w:p>
    <w:p w14:paraId="23C56FFF">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7" w:name="_Toc106030875"/>
      <w:bookmarkStart w:id="18" w:name="_Toc76462321"/>
      <w:bookmarkStart w:id="19" w:name="_Toc373860294"/>
      <w:r>
        <w:rPr>
          <w:rFonts w:hint="eastAsia" w:ascii="方正仿宋_GBK" w:hAnsi="宋体" w:eastAsia="方正仿宋_GBK"/>
          <w:color w:val="auto"/>
          <w:sz w:val="24"/>
        </w:rPr>
        <w:t>五、</w:t>
      </w:r>
      <w:bookmarkEnd w:id="12"/>
      <w:bookmarkEnd w:id="17"/>
      <w:bookmarkEnd w:id="18"/>
      <w:bookmarkEnd w:id="19"/>
      <w:bookmarkStart w:id="20" w:name="_Toc76462322"/>
      <w:bookmarkStart w:id="21" w:name="_Toc480466699"/>
      <w:bookmarkStart w:id="22" w:name="_Toc106030876"/>
      <w:r>
        <w:rPr>
          <w:rFonts w:hint="eastAsia" w:ascii="方正仿宋_GBK" w:hAnsi="宋体" w:eastAsia="方正仿宋_GBK"/>
          <w:color w:val="auto"/>
          <w:sz w:val="24"/>
        </w:rPr>
        <w:t>其它有关规定</w:t>
      </w:r>
      <w:bookmarkEnd w:id="20"/>
      <w:bookmarkEnd w:id="21"/>
      <w:bookmarkEnd w:id="22"/>
    </w:p>
    <w:p w14:paraId="74A4F336">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bookmarkStart w:id="23" w:name="_Toc480466700"/>
      <w:r>
        <w:rPr>
          <w:rFonts w:hint="eastAsia" w:ascii="方正仿宋_GBK" w:hAnsi="宋体" w:eastAsia="方正仿宋_GBK"/>
          <w:color w:val="auto"/>
          <w:sz w:val="24"/>
          <w:szCs w:val="24"/>
          <w:highlight w:val="none"/>
        </w:rPr>
        <w:t>（一）单位负责人为同一人或者存在直接控股、管理关系的不同供应商，</w:t>
      </w:r>
      <w:r>
        <w:rPr>
          <w:rFonts w:ascii="方正仿宋_GBK" w:hAnsi="宋体" w:eastAsia="方正仿宋_GBK"/>
          <w:color w:val="auto"/>
          <w:sz w:val="24"/>
          <w:szCs w:val="24"/>
          <w:highlight w:val="none"/>
        </w:rPr>
        <w:t>不得参加同一合同项</w:t>
      </w:r>
      <w:r>
        <w:rPr>
          <w:rFonts w:hint="eastAsia" w:ascii="方正仿宋_GBK" w:hAnsi="宋体" w:eastAsia="方正仿宋_GBK"/>
          <w:color w:val="auto"/>
          <w:sz w:val="24"/>
          <w:szCs w:val="24"/>
          <w:highlight w:val="none"/>
        </w:rPr>
        <w:t>（包）</w:t>
      </w:r>
      <w:r>
        <w:rPr>
          <w:rFonts w:ascii="方正仿宋_GBK" w:hAnsi="宋体" w:eastAsia="方正仿宋_GBK"/>
          <w:color w:val="auto"/>
          <w:sz w:val="24"/>
          <w:szCs w:val="24"/>
          <w:highlight w:val="none"/>
        </w:rPr>
        <w:t>下的政府采购活动</w:t>
      </w:r>
      <w:r>
        <w:rPr>
          <w:rFonts w:hint="eastAsia" w:ascii="方正仿宋_GBK" w:hAnsi="宋体" w:eastAsia="方正仿宋_GBK"/>
          <w:color w:val="auto"/>
          <w:sz w:val="24"/>
          <w:szCs w:val="24"/>
          <w:highlight w:val="none"/>
        </w:rPr>
        <w:t>，否则均为无效报价。</w:t>
      </w:r>
    </w:p>
    <w:p w14:paraId="0F285D0B">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（二）为采购项目提供整体设计、规范编制或者项目管理、监理、检测等服务的供应商，不得再</w:t>
      </w:r>
      <w:r>
        <w:rPr>
          <w:rFonts w:ascii="方正仿宋_GBK" w:hAnsi="宋体" w:eastAsia="方正仿宋_GBK"/>
          <w:color w:val="auto"/>
          <w:sz w:val="24"/>
          <w:szCs w:val="24"/>
          <w:highlight w:val="none"/>
        </w:rPr>
        <w:t>参加</w:t>
      </w:r>
      <w:r>
        <w:rPr>
          <w:rFonts w:hint="eastAsia" w:ascii="方正仿宋_GBK" w:hAnsi="宋体" w:eastAsia="方正仿宋_GBK"/>
          <w:color w:val="auto"/>
          <w:sz w:val="24"/>
          <w:szCs w:val="24"/>
          <w:highlight w:val="none"/>
        </w:rPr>
        <w:t>该采购</w:t>
      </w:r>
      <w:r>
        <w:rPr>
          <w:rFonts w:ascii="方正仿宋_GBK" w:hAnsi="宋体" w:eastAsia="方正仿宋_GBK"/>
          <w:color w:val="auto"/>
          <w:sz w:val="24"/>
          <w:szCs w:val="24"/>
          <w:highlight w:val="none"/>
        </w:rPr>
        <w:t>项目的</w:t>
      </w:r>
      <w:r>
        <w:rPr>
          <w:rFonts w:hint="eastAsia" w:ascii="方正仿宋_GBK" w:hAnsi="宋体" w:eastAsia="方正仿宋_GBK"/>
          <w:color w:val="auto"/>
          <w:sz w:val="24"/>
          <w:szCs w:val="24"/>
          <w:highlight w:val="none"/>
        </w:rPr>
        <w:t>其他</w:t>
      </w:r>
      <w:r>
        <w:rPr>
          <w:rFonts w:ascii="方正仿宋_GBK" w:hAnsi="宋体" w:eastAsia="方正仿宋_GBK"/>
          <w:color w:val="auto"/>
          <w:sz w:val="24"/>
          <w:szCs w:val="24"/>
          <w:highlight w:val="none"/>
        </w:rPr>
        <w:t>采购活动</w:t>
      </w:r>
      <w:r>
        <w:rPr>
          <w:rFonts w:hint="eastAsia" w:ascii="方正仿宋_GBK" w:hAnsi="宋体" w:eastAsia="方正仿宋_GBK"/>
          <w:color w:val="auto"/>
          <w:sz w:val="24"/>
          <w:szCs w:val="24"/>
          <w:highlight w:val="none"/>
        </w:rPr>
        <w:t>。</w:t>
      </w:r>
    </w:p>
    <w:p w14:paraId="3C50FF44">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（三）同一合同项（包）下为单一品目的货物采购中，同一品牌同一型号产品有多家供应商参加谈判，只能按照一家供应商计算。</w:t>
      </w:r>
    </w:p>
    <w:p w14:paraId="01DA6995">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（四）同一合同项（包）下的货物，制造商参与报价的，不得再委托代理商参与报价。</w:t>
      </w:r>
    </w:p>
    <w:p w14:paraId="45282E57">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（五）本项目的澄清文件（如果有）一律在重庆市交通</w:t>
      </w:r>
      <w:r>
        <w:rPr>
          <w:rFonts w:hint="eastAsia" w:ascii="方正仿宋_GBK" w:hAnsi="宋体" w:eastAsia="方正仿宋_GBK"/>
          <w:color w:val="auto"/>
          <w:sz w:val="24"/>
          <w:szCs w:val="24"/>
          <w:highlight w:val="none"/>
          <w:lang w:eastAsia="zh-CN"/>
        </w:rPr>
        <w:t>运输委员会官</w:t>
      </w:r>
      <w:r>
        <w:rPr>
          <w:rFonts w:hint="eastAsia" w:ascii="方正仿宋_GBK" w:hAnsi="宋体" w:eastAsia="方正仿宋_GBK"/>
          <w:color w:val="auto"/>
          <w:sz w:val="24"/>
          <w:szCs w:val="24"/>
          <w:highlight w:val="none"/>
        </w:rPr>
        <w:t>网</w:t>
      </w:r>
      <w:r>
        <w:rPr>
          <w:rFonts w:hint="eastAsia" w:ascii="方正仿宋_GBK" w:hAnsi="宋体" w:eastAsia="方正仿宋_GBK"/>
          <w:color w:val="auto"/>
          <w:sz w:val="24"/>
          <w:szCs w:val="24"/>
          <w:highlight w:val="none"/>
          <w:lang w:eastAsia="zh-CN"/>
        </w:rPr>
        <w:t>（https://jtj.cq.gov.cn/）</w:t>
      </w:r>
      <w:r>
        <w:rPr>
          <w:rFonts w:hint="eastAsia" w:ascii="方正仿宋_GBK" w:hAnsi="宋体" w:eastAsia="方正仿宋_GBK"/>
          <w:color w:val="auto"/>
          <w:sz w:val="24"/>
          <w:szCs w:val="24"/>
          <w:highlight w:val="none"/>
        </w:rPr>
        <w:t>上发布，请各供应商注意下载；无论供应商下载或领取与否，均视同供应商已知晓本项目澄清文件（如果有）的内容。</w:t>
      </w:r>
    </w:p>
    <w:p w14:paraId="028959A7">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（六）超过响应文件截止时间递交的响应文件，恕不接收。</w:t>
      </w:r>
    </w:p>
    <w:p w14:paraId="51D35A0F">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（七）限额以下比价费用：无论采购结果如何，供应商参与本项目比价的所有费用均应由供应商自行承担。</w:t>
      </w:r>
    </w:p>
    <w:p w14:paraId="137674B9">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（八）本项目不接受联合体参与报价，否则按无效处理。</w:t>
      </w:r>
    </w:p>
    <w:p w14:paraId="2B7E765F">
      <w:pPr>
        <w:pageBreakBefore w:val="0"/>
        <w:widowControl w:val="0"/>
        <w:kinsoku/>
        <w:wordWrap/>
        <w:overflowPunct/>
        <w:topLinePunct w:val="0"/>
        <w:autoSpaceDE/>
        <w:autoSpaceDN/>
        <w:bidi w:val="0"/>
        <w:snapToGrid w:val="0"/>
        <w:spacing w:line="380" w:lineRule="exact"/>
        <w:ind w:firstLine="360" w:firstLineChars="150"/>
        <w:textAlignment w:val="auto"/>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（九）本项目不接受合同分包，否则按无效处理。</w:t>
      </w:r>
    </w:p>
    <w:p w14:paraId="7AC6D655">
      <w:pPr>
        <w:snapToGrid w:val="0"/>
        <w:spacing w:line="400" w:lineRule="exact"/>
        <w:ind w:firstLine="360" w:firstLineChars="150"/>
        <w:rPr>
          <w:rFonts w:hint="eastAsia" w:ascii="方正仿宋_GBK" w:hAnsi="宋体" w:eastAsia="方正仿宋_GBK"/>
          <w:b w:val="0"/>
          <w:bCs/>
          <w:color w:val="auto"/>
          <w:sz w:val="24"/>
          <w:highlight w:val="none"/>
          <w:lang w:val="en-US" w:eastAsia="zh-CN"/>
        </w:rPr>
      </w:pPr>
      <w:r>
        <w:rPr>
          <w:rFonts w:hint="eastAsia" w:ascii="方正仿宋_GBK" w:hAnsi="宋体" w:eastAsia="方正仿宋_GBK"/>
          <w:bCs/>
          <w:color w:val="auto"/>
          <w:sz w:val="24"/>
          <w:szCs w:val="24"/>
          <w:highlight w:val="none"/>
        </w:rPr>
        <w:t>（十）</w:t>
      </w:r>
      <w:r>
        <w:rPr>
          <w:rFonts w:hint="eastAsia" w:ascii="方正仿宋_GBK" w:hAnsi="宋体" w:eastAsia="方正仿宋_GBK"/>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不得参与政府采购活动。</w:t>
      </w:r>
      <w:bookmarkEnd w:id="23"/>
    </w:p>
    <w:p w14:paraId="7B88E301">
      <w:pPr>
        <w:pStyle w:val="3"/>
        <w:pageBreakBefore w:val="0"/>
        <w:widowControl w:val="0"/>
        <w:kinsoku/>
        <w:wordWrap/>
        <w:overflowPunct/>
        <w:topLinePunct w:val="0"/>
        <w:autoSpaceDE/>
        <w:autoSpaceDN/>
        <w:bidi w:val="0"/>
        <w:adjustRightInd w:val="0"/>
        <w:snapToGrid w:val="0"/>
        <w:spacing w:before="0" w:after="0" w:line="380" w:lineRule="exact"/>
        <w:ind w:firstLine="480" w:firstLineChars="200"/>
        <w:textAlignment w:val="auto"/>
        <w:rPr>
          <w:rFonts w:hint="eastAsia" w:ascii="方正仿宋_GBK" w:hAnsi="宋体" w:eastAsia="方正仿宋_GBK"/>
          <w:color w:val="auto"/>
          <w:sz w:val="24"/>
        </w:rPr>
      </w:pPr>
      <w:r>
        <w:rPr>
          <w:rFonts w:hint="eastAsia" w:ascii="方正仿宋_GBK" w:hAnsi="宋体" w:eastAsia="方正仿宋_GBK"/>
          <w:color w:val="auto"/>
          <w:sz w:val="24"/>
          <w:lang w:val="en-US" w:eastAsia="zh-CN"/>
        </w:rPr>
        <w:t>六</w:t>
      </w:r>
      <w:r>
        <w:rPr>
          <w:rFonts w:hint="eastAsia" w:ascii="方正仿宋_GBK" w:hAnsi="宋体" w:eastAsia="方正仿宋_GBK"/>
          <w:color w:val="auto"/>
          <w:sz w:val="24"/>
        </w:rPr>
        <w:t>、联系方式</w:t>
      </w:r>
    </w:p>
    <w:p w14:paraId="050ADB8C">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（一）采购人：重庆市乌江航道管理处</w:t>
      </w:r>
    </w:p>
    <w:p w14:paraId="50DBEDFA">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联系人：</w:t>
      </w:r>
      <w:r>
        <w:rPr>
          <w:rFonts w:hint="eastAsia" w:ascii="方正仿宋_GBK" w:hAnsi="宋体" w:eastAsia="方正仿宋_GBK"/>
          <w:color w:val="auto"/>
          <w:sz w:val="24"/>
          <w:szCs w:val="24"/>
          <w:highlight w:val="none"/>
          <w:lang w:eastAsia="zh-CN"/>
        </w:rPr>
        <w:t>焦</w:t>
      </w:r>
      <w:r>
        <w:rPr>
          <w:rFonts w:hint="eastAsia" w:ascii="方正仿宋_GBK" w:hAnsi="宋体" w:eastAsia="方正仿宋_GBK"/>
          <w:color w:val="auto"/>
          <w:sz w:val="24"/>
          <w:szCs w:val="24"/>
          <w:highlight w:val="none"/>
        </w:rPr>
        <w:t>老师</w:t>
      </w:r>
    </w:p>
    <w:p w14:paraId="7BADF245">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电  话：</w:t>
      </w:r>
      <w:r>
        <w:rPr>
          <w:rFonts w:hint="eastAsia" w:ascii="方正仿宋_GBK" w:hAnsi="宋体" w:eastAsia="方正仿宋_GBK"/>
          <w:color w:val="auto"/>
          <w:sz w:val="24"/>
          <w:szCs w:val="24"/>
          <w:highlight w:val="none"/>
          <w:lang w:val="en-US" w:eastAsia="zh-CN"/>
        </w:rPr>
        <w:t>023-72300403</w:t>
      </w:r>
    </w:p>
    <w:p w14:paraId="7B66AFA1">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地  址：重庆市涪陵区顺江大道望江路99号</w:t>
      </w:r>
    </w:p>
    <w:p w14:paraId="01659E1C">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（二）采购代理机构：重庆华大工程管理有限公司</w:t>
      </w:r>
    </w:p>
    <w:p w14:paraId="266CCEA3">
      <w:pPr>
        <w:pageBreakBefore w:val="0"/>
        <w:widowControl w:val="0"/>
        <w:kinsoku/>
        <w:wordWrap/>
        <w:overflowPunct/>
        <w:topLinePunct w:val="0"/>
        <w:autoSpaceDE/>
        <w:autoSpaceDN/>
        <w:bidi w:val="0"/>
        <w:snapToGrid w:val="0"/>
        <w:spacing w:line="380" w:lineRule="exact"/>
        <w:ind w:firstLine="480" w:firstLineChars="20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联系人：</w:t>
      </w:r>
      <w:r>
        <w:rPr>
          <w:rFonts w:hint="eastAsia" w:ascii="方正仿宋_GBK" w:hAnsi="宋体" w:eastAsia="方正仿宋_GBK"/>
          <w:color w:val="auto"/>
          <w:sz w:val="24"/>
          <w:szCs w:val="24"/>
          <w:lang w:eastAsia="zh-CN"/>
        </w:rPr>
        <w:t>刘</w:t>
      </w:r>
      <w:r>
        <w:rPr>
          <w:rFonts w:hint="eastAsia" w:ascii="方正仿宋_GBK" w:hAnsi="宋体" w:eastAsia="方正仿宋_GBK"/>
          <w:color w:val="auto"/>
          <w:sz w:val="24"/>
          <w:szCs w:val="24"/>
        </w:rPr>
        <w:t>老师</w:t>
      </w:r>
    </w:p>
    <w:p w14:paraId="7323D75F">
      <w:pPr>
        <w:pageBreakBefore w:val="0"/>
        <w:widowControl w:val="0"/>
        <w:kinsoku/>
        <w:wordWrap/>
        <w:overflowPunct/>
        <w:topLinePunct w:val="0"/>
        <w:autoSpaceDE/>
        <w:autoSpaceDN/>
        <w:bidi w:val="0"/>
        <w:snapToGrid w:val="0"/>
        <w:spacing w:line="380" w:lineRule="exact"/>
        <w:ind w:firstLine="480" w:firstLineChars="200"/>
        <w:textAlignment w:val="auto"/>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电  话：</w:t>
      </w:r>
      <w:r>
        <w:rPr>
          <w:rFonts w:hint="eastAsia" w:ascii="方正仿宋_GBK" w:hAnsi="宋体" w:eastAsia="方正仿宋_GBK"/>
          <w:color w:val="auto"/>
          <w:sz w:val="24"/>
          <w:szCs w:val="24"/>
          <w:lang w:val="en-US" w:eastAsia="zh-CN"/>
        </w:rPr>
        <w:t>18325055102</w:t>
      </w:r>
    </w:p>
    <w:p w14:paraId="6FF79E82">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地  址：重庆市涪陵区新城区建筑业大厦3楼</w:t>
      </w:r>
    </w:p>
    <w:p w14:paraId="5136A951">
      <w:pPr>
        <w:rPr>
          <w:rFonts w:hint="eastAsia" w:ascii="方正仿宋_GBK" w:hAnsi="宋体" w:eastAsia="方正仿宋_GBK"/>
          <w:color w:val="auto"/>
          <w:sz w:val="24"/>
          <w:szCs w:val="24"/>
        </w:rPr>
      </w:pPr>
      <w:r>
        <w:rPr>
          <w:rFonts w:hint="eastAsia" w:ascii="方正仿宋_GBK" w:hAnsi="宋体" w:eastAsia="方正仿宋_GBK"/>
          <w:color w:val="auto"/>
          <w:sz w:val="24"/>
          <w:szCs w:val="24"/>
        </w:rPr>
        <w:br w:type="page"/>
      </w:r>
    </w:p>
    <w:p w14:paraId="0ED9497E">
      <w:pPr>
        <w:pStyle w:val="3"/>
        <w:pageBreakBefore w:val="0"/>
        <w:widowControl w:val="0"/>
        <w:kinsoku/>
        <w:wordWrap/>
        <w:overflowPunct/>
        <w:topLinePunct w:val="0"/>
        <w:autoSpaceDE/>
        <w:autoSpaceDN/>
        <w:bidi w:val="0"/>
        <w:adjustRightInd w:val="0"/>
        <w:snapToGrid w:val="0"/>
        <w:spacing w:before="0" w:after="0" w:line="380" w:lineRule="exact"/>
        <w:ind w:firstLine="480" w:firstLineChars="200"/>
        <w:textAlignment w:val="auto"/>
        <w:rPr>
          <w:rFonts w:hint="eastAsia" w:ascii="方正仿宋_GBK" w:hAnsi="宋体" w:eastAsia="方正仿宋_GBK" w:cs="Times New Roman"/>
          <w:color w:val="auto"/>
          <w:sz w:val="24"/>
          <w:lang w:val="en-US" w:eastAsia="zh-CN"/>
        </w:rPr>
      </w:pPr>
      <w:r>
        <w:rPr>
          <w:rFonts w:hint="eastAsia" w:ascii="方正仿宋_GBK" w:hAnsi="宋体" w:eastAsia="方正仿宋_GBK" w:cs="Times New Roman"/>
          <w:color w:val="auto"/>
          <w:sz w:val="24"/>
          <w:lang w:val="en-US" w:eastAsia="zh-CN"/>
        </w:rPr>
        <w:t>七、项目其他说明</w:t>
      </w:r>
    </w:p>
    <w:p w14:paraId="76FA74B7">
      <w:pPr>
        <w:snapToGrid w:val="0"/>
        <w:spacing w:line="400" w:lineRule="exact"/>
        <w:ind w:firstLine="480" w:firstLineChars="200"/>
        <w:rPr>
          <w:rFonts w:hint="eastAsia" w:ascii="宋体" w:hAnsi="宋体"/>
          <w:b w:val="0"/>
          <w:bCs/>
          <w:color w:val="auto"/>
          <w:sz w:val="24"/>
          <w:szCs w:val="24"/>
        </w:rPr>
      </w:pPr>
      <w:r>
        <w:rPr>
          <w:rFonts w:hint="eastAsia" w:ascii="宋体" w:hAnsi="宋体"/>
          <w:b w:val="0"/>
          <w:bCs/>
          <w:color w:val="auto"/>
          <w:sz w:val="24"/>
          <w:szCs w:val="24"/>
        </w:rPr>
        <w:t>投标</w:t>
      </w:r>
      <w:r>
        <w:rPr>
          <w:rFonts w:hint="eastAsia" w:ascii="宋体" w:hAnsi="宋体"/>
          <w:b w:val="0"/>
          <w:bCs/>
          <w:color w:val="auto"/>
          <w:sz w:val="24"/>
          <w:szCs w:val="24"/>
          <w:lang w:eastAsia="zh-CN"/>
        </w:rPr>
        <w:t>供应商</w:t>
      </w:r>
      <w:r>
        <w:rPr>
          <w:rFonts w:hint="eastAsia" w:ascii="宋体" w:hAnsi="宋体"/>
          <w:b w:val="0"/>
          <w:bCs/>
          <w:color w:val="auto"/>
          <w:sz w:val="24"/>
          <w:szCs w:val="24"/>
        </w:rPr>
        <w:t>的</w:t>
      </w:r>
      <w:r>
        <w:rPr>
          <w:rFonts w:hint="eastAsia" w:ascii="宋体" w:hAnsi="宋体"/>
          <w:b w:val="0"/>
          <w:bCs/>
          <w:color w:val="auto"/>
          <w:sz w:val="24"/>
          <w:szCs w:val="24"/>
          <w:lang w:val="zh-CN"/>
        </w:rPr>
        <w:t>法定代表人或</w:t>
      </w:r>
      <w:r>
        <w:rPr>
          <w:rFonts w:hint="eastAsia" w:ascii="宋体" w:hAnsi="宋体"/>
          <w:b w:val="0"/>
          <w:bCs/>
          <w:color w:val="auto"/>
          <w:sz w:val="24"/>
          <w:szCs w:val="24"/>
        </w:rPr>
        <w:t>授权代理人</w:t>
      </w:r>
      <w:r>
        <w:rPr>
          <w:rFonts w:hint="eastAsia" w:ascii="宋体" w:hAnsi="宋体"/>
          <w:b w:val="0"/>
          <w:bCs/>
          <w:color w:val="auto"/>
          <w:sz w:val="24"/>
          <w:szCs w:val="24"/>
          <w:lang w:val="zh-CN"/>
        </w:rPr>
        <w:t>必须按时参加本竞争性磋商会议。</w:t>
      </w:r>
    </w:p>
    <w:p w14:paraId="6EAB0245">
      <w:pPr>
        <w:snapToGrid w:val="0"/>
        <w:spacing w:line="400" w:lineRule="exact"/>
        <w:ind w:firstLine="480" w:firstLineChars="200"/>
        <w:rPr>
          <w:rFonts w:hint="eastAsia" w:ascii="宋体" w:hAnsi="宋体"/>
          <w:b w:val="0"/>
          <w:bCs/>
          <w:color w:val="auto"/>
          <w:sz w:val="24"/>
          <w:szCs w:val="24"/>
        </w:rPr>
      </w:pPr>
      <w:r>
        <w:rPr>
          <w:rFonts w:hint="eastAsia" w:ascii="宋体" w:hAnsi="宋体"/>
          <w:b w:val="0"/>
          <w:bCs/>
          <w:color w:val="auto"/>
          <w:sz w:val="24"/>
          <w:szCs w:val="24"/>
        </w:rPr>
        <w:t>投标</w:t>
      </w:r>
      <w:r>
        <w:rPr>
          <w:rFonts w:hint="eastAsia" w:ascii="宋体" w:hAnsi="宋体"/>
          <w:b w:val="0"/>
          <w:bCs/>
          <w:color w:val="auto"/>
          <w:sz w:val="24"/>
          <w:szCs w:val="24"/>
          <w:lang w:eastAsia="zh-CN"/>
        </w:rPr>
        <w:t>供应商</w:t>
      </w:r>
      <w:r>
        <w:rPr>
          <w:rFonts w:hint="eastAsia" w:ascii="宋体" w:hAnsi="宋体"/>
          <w:b w:val="0"/>
          <w:bCs/>
          <w:color w:val="auto"/>
          <w:sz w:val="24"/>
          <w:szCs w:val="24"/>
        </w:rPr>
        <w:t>的法定代表人参加</w:t>
      </w:r>
      <w:r>
        <w:rPr>
          <w:rFonts w:hint="eastAsia" w:ascii="宋体" w:hAnsi="宋体"/>
          <w:b w:val="0"/>
          <w:bCs/>
          <w:color w:val="auto"/>
          <w:sz w:val="24"/>
          <w:szCs w:val="24"/>
          <w:lang w:eastAsia="zh-CN"/>
        </w:rPr>
        <w:t>竞争性磋商</w:t>
      </w:r>
      <w:r>
        <w:rPr>
          <w:rFonts w:hint="eastAsia" w:ascii="宋体" w:hAnsi="宋体"/>
          <w:b w:val="0"/>
          <w:bCs/>
          <w:color w:val="auto"/>
          <w:sz w:val="24"/>
          <w:szCs w:val="24"/>
        </w:rPr>
        <w:t>会议的，应当随身携带本人身份证（原件），法定代表人身份证明书（原件）；</w:t>
      </w:r>
    </w:p>
    <w:p w14:paraId="33DC458A">
      <w:pPr>
        <w:snapToGrid w:val="0"/>
        <w:spacing w:line="400" w:lineRule="exact"/>
        <w:ind w:firstLine="480" w:firstLineChars="200"/>
        <w:rPr>
          <w:rFonts w:hint="eastAsia" w:ascii="宋体" w:hAnsi="宋体"/>
          <w:b w:val="0"/>
          <w:bCs/>
          <w:color w:val="auto"/>
          <w:sz w:val="24"/>
          <w:szCs w:val="24"/>
        </w:rPr>
      </w:pPr>
      <w:r>
        <w:rPr>
          <w:rFonts w:hint="eastAsia" w:ascii="宋体" w:hAnsi="宋体"/>
          <w:b w:val="0"/>
          <w:bCs/>
          <w:color w:val="auto"/>
          <w:sz w:val="24"/>
          <w:szCs w:val="24"/>
        </w:rPr>
        <w:t>投标</w:t>
      </w:r>
      <w:r>
        <w:rPr>
          <w:rFonts w:hint="eastAsia" w:ascii="宋体" w:hAnsi="宋体"/>
          <w:b w:val="0"/>
          <w:bCs/>
          <w:color w:val="auto"/>
          <w:sz w:val="24"/>
          <w:szCs w:val="24"/>
          <w:lang w:eastAsia="zh-CN"/>
        </w:rPr>
        <w:t>供应商</w:t>
      </w:r>
      <w:r>
        <w:rPr>
          <w:rFonts w:hint="eastAsia" w:ascii="宋体" w:hAnsi="宋体"/>
          <w:b w:val="0"/>
          <w:bCs/>
          <w:color w:val="auto"/>
          <w:sz w:val="24"/>
          <w:szCs w:val="24"/>
        </w:rPr>
        <w:t>的授权代理人参加</w:t>
      </w:r>
      <w:r>
        <w:rPr>
          <w:rFonts w:hint="eastAsia" w:ascii="宋体" w:hAnsi="宋体"/>
          <w:b w:val="0"/>
          <w:bCs/>
          <w:color w:val="auto"/>
          <w:sz w:val="24"/>
          <w:szCs w:val="24"/>
          <w:lang w:eastAsia="zh-CN"/>
        </w:rPr>
        <w:t>竞争性磋商</w:t>
      </w:r>
      <w:r>
        <w:rPr>
          <w:rFonts w:hint="eastAsia" w:ascii="宋体" w:hAnsi="宋体"/>
          <w:b w:val="0"/>
          <w:bCs/>
          <w:color w:val="auto"/>
          <w:sz w:val="24"/>
          <w:szCs w:val="24"/>
        </w:rPr>
        <w:t>会议的，除随身携带法定代表人身份证明书（原件）外，还应当随身携带法定代表人授权委托书(原件)、投标</w:t>
      </w:r>
      <w:r>
        <w:rPr>
          <w:rFonts w:hint="eastAsia" w:ascii="宋体" w:hAnsi="宋体"/>
          <w:b w:val="0"/>
          <w:bCs/>
          <w:color w:val="auto"/>
          <w:sz w:val="24"/>
          <w:szCs w:val="24"/>
          <w:lang w:eastAsia="zh-CN"/>
        </w:rPr>
        <w:t>供应商</w:t>
      </w:r>
      <w:r>
        <w:rPr>
          <w:rFonts w:hint="eastAsia" w:ascii="宋体" w:hAnsi="宋体"/>
          <w:b w:val="0"/>
          <w:bCs/>
          <w:color w:val="auto"/>
          <w:sz w:val="24"/>
          <w:szCs w:val="24"/>
        </w:rPr>
        <w:t>为其交纳的社保证明材料以及本人身份证（原件），否则不予参加</w:t>
      </w:r>
      <w:r>
        <w:rPr>
          <w:rFonts w:hint="eastAsia" w:ascii="宋体" w:hAnsi="宋体"/>
          <w:b w:val="0"/>
          <w:bCs/>
          <w:color w:val="auto"/>
          <w:sz w:val="24"/>
          <w:szCs w:val="24"/>
          <w:lang w:eastAsia="zh-CN"/>
        </w:rPr>
        <w:t>竞争性磋商</w:t>
      </w:r>
      <w:r>
        <w:rPr>
          <w:rFonts w:hint="eastAsia" w:ascii="宋体" w:hAnsi="宋体"/>
          <w:b w:val="0"/>
          <w:bCs/>
          <w:color w:val="auto"/>
          <w:sz w:val="24"/>
          <w:szCs w:val="24"/>
        </w:rPr>
        <w:t>会，其递交的投标文件将被退还给投标</w:t>
      </w:r>
      <w:r>
        <w:rPr>
          <w:rFonts w:hint="eastAsia" w:ascii="宋体" w:hAnsi="宋体"/>
          <w:b w:val="0"/>
          <w:bCs/>
          <w:color w:val="auto"/>
          <w:sz w:val="24"/>
          <w:szCs w:val="24"/>
          <w:lang w:eastAsia="zh-CN"/>
        </w:rPr>
        <w:t>供应商</w:t>
      </w:r>
      <w:r>
        <w:rPr>
          <w:rFonts w:hint="eastAsia" w:ascii="宋体" w:hAnsi="宋体"/>
          <w:b w:val="0"/>
          <w:bCs/>
          <w:color w:val="auto"/>
          <w:sz w:val="24"/>
          <w:szCs w:val="24"/>
        </w:rPr>
        <w:t>。</w:t>
      </w:r>
    </w:p>
    <w:p w14:paraId="1915E622">
      <w:pPr>
        <w:snapToGrid w:val="0"/>
        <w:spacing w:line="400" w:lineRule="exact"/>
        <w:ind w:firstLine="480" w:firstLineChars="200"/>
        <w:rPr>
          <w:rFonts w:hint="eastAsia" w:ascii="宋体" w:hAnsi="宋体" w:eastAsia="宋体"/>
          <w:b w:val="0"/>
          <w:bCs/>
          <w:color w:val="auto"/>
          <w:sz w:val="24"/>
          <w:szCs w:val="24"/>
          <w:lang w:eastAsia="zh-CN"/>
        </w:rPr>
        <w:sectPr>
          <w:headerReference r:id="rId11" w:type="first"/>
          <w:footerReference r:id="rId14" w:type="first"/>
          <w:headerReference r:id="rId9" w:type="default"/>
          <w:footerReference r:id="rId12" w:type="default"/>
          <w:headerReference r:id="rId10" w:type="even"/>
          <w:footerReference r:id="rId13" w:type="even"/>
          <w:pgSz w:w="11907" w:h="16840"/>
          <w:pgMar w:top="1134" w:right="1418" w:bottom="1134" w:left="1418" w:header="964" w:footer="992" w:gutter="0"/>
          <w:pgNumType w:fmt="numberInDash"/>
          <w:cols w:space="720" w:num="1"/>
          <w:docGrid w:linePitch="312" w:charSpace="0"/>
        </w:sectPr>
      </w:pPr>
      <w:r>
        <w:rPr>
          <w:rFonts w:hint="eastAsia" w:ascii="宋体" w:hAnsi="宋体"/>
          <w:b w:val="0"/>
          <w:bCs/>
          <w:color w:val="auto"/>
          <w:sz w:val="24"/>
          <w:szCs w:val="24"/>
        </w:rPr>
        <w:t>注：《法定代表人身份证明书》及《法定代表人授权委托书》原件须按要求装入投标文件，也要随身携带壹份以供监督人员核实身份</w:t>
      </w:r>
      <w:r>
        <w:rPr>
          <w:rFonts w:hint="eastAsia" w:ascii="宋体" w:hAnsi="宋体"/>
          <w:b w:val="0"/>
          <w:bCs/>
          <w:color w:val="auto"/>
          <w:sz w:val="24"/>
          <w:szCs w:val="24"/>
          <w:lang w:eastAsia="zh-CN"/>
        </w:rPr>
        <w:t>，社保缴纳期限：</w:t>
      </w:r>
      <w:r>
        <w:rPr>
          <w:rFonts w:hint="eastAsia" w:ascii="宋体" w:hAnsi="宋体"/>
          <w:b w:val="0"/>
          <w:bCs/>
          <w:color w:val="auto"/>
          <w:sz w:val="24"/>
          <w:szCs w:val="24"/>
          <w:lang w:val="en-US" w:eastAsia="zh-CN"/>
        </w:rPr>
        <w:t>2024年6月-2024年8月。</w:t>
      </w:r>
    </w:p>
    <w:p w14:paraId="120A762D">
      <w:pPr>
        <w:pStyle w:val="3"/>
        <w:spacing w:before="0" w:after="0" w:line="360" w:lineRule="auto"/>
        <w:jc w:val="center"/>
        <w:rPr>
          <w:rFonts w:hint="eastAsia" w:ascii="方正小标宋_GBK" w:hAnsi="宋体" w:eastAsia="方正小标宋_GBK"/>
          <w:b w:val="0"/>
          <w:color w:val="auto"/>
          <w:sz w:val="30"/>
          <w:szCs w:val="30"/>
        </w:rPr>
      </w:pPr>
      <w:bookmarkStart w:id="24" w:name="_Toc76462324"/>
      <w:bookmarkStart w:id="25" w:name="_Toc106030878"/>
      <w:r>
        <w:rPr>
          <w:rFonts w:hint="eastAsia" w:ascii="方正小标宋_GBK" w:hAnsi="宋体" w:eastAsia="方正小标宋_GBK"/>
          <w:b w:val="0"/>
          <w:color w:val="auto"/>
          <w:sz w:val="36"/>
          <w:szCs w:val="30"/>
        </w:rPr>
        <w:t>第二篇  项目服务需求</w:t>
      </w:r>
      <w:bookmarkEnd w:id="24"/>
      <w:bookmarkEnd w:id="25"/>
    </w:p>
    <w:p w14:paraId="65F87561">
      <w:pPr>
        <w:pStyle w:val="3"/>
        <w:adjustRightInd w:val="0"/>
        <w:snapToGrid w:val="0"/>
        <w:spacing w:before="0" w:after="0" w:line="400" w:lineRule="exact"/>
        <w:rPr>
          <w:rFonts w:hint="eastAsia" w:ascii="方正仿宋_GBK" w:hAnsi="宋体" w:eastAsia="方正仿宋_GBK"/>
          <w:color w:val="auto"/>
          <w:sz w:val="24"/>
        </w:rPr>
      </w:pPr>
      <w:bookmarkStart w:id="26" w:name="_Toc76462325"/>
      <w:bookmarkStart w:id="27" w:name="_Toc106030879"/>
      <w:bookmarkStart w:id="28" w:name="_Toc12789058"/>
      <w:r>
        <w:rPr>
          <w:rFonts w:hint="eastAsia" w:ascii="方正仿宋_GBK" w:hAnsi="宋体" w:eastAsia="方正仿宋_GBK"/>
          <w:color w:val="auto"/>
          <w:sz w:val="24"/>
        </w:rPr>
        <w:t>一、项目基本概况介绍</w:t>
      </w:r>
      <w:bookmarkEnd w:id="26"/>
      <w:bookmarkEnd w:id="27"/>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3"/>
        <w:gridCol w:w="2203"/>
        <w:gridCol w:w="2436"/>
      </w:tblGrid>
      <w:tr w14:paraId="58B3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753" w:type="dxa"/>
            <w:tcBorders>
              <w:top w:val="single" w:color="auto" w:sz="4" w:space="0"/>
              <w:left w:val="single" w:color="auto" w:sz="4" w:space="0"/>
              <w:right w:val="single" w:color="auto" w:sz="4" w:space="0"/>
            </w:tcBorders>
            <w:noWrap w:val="0"/>
            <w:vAlign w:val="center"/>
          </w:tcPr>
          <w:p w14:paraId="307A5844">
            <w:pPr>
              <w:spacing w:line="400" w:lineRule="exact"/>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包号及名称</w:t>
            </w:r>
          </w:p>
        </w:tc>
        <w:tc>
          <w:tcPr>
            <w:tcW w:w="2203" w:type="dxa"/>
            <w:tcBorders>
              <w:top w:val="single" w:color="auto" w:sz="4" w:space="0"/>
              <w:left w:val="single" w:color="auto" w:sz="4" w:space="0"/>
              <w:right w:val="single" w:color="auto" w:sz="4" w:space="0"/>
            </w:tcBorders>
            <w:noWrap w:val="0"/>
            <w:vAlign w:val="center"/>
          </w:tcPr>
          <w:p w14:paraId="45ACA143">
            <w:pPr>
              <w:spacing w:line="400" w:lineRule="exact"/>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数量/单位</w:t>
            </w:r>
          </w:p>
        </w:tc>
        <w:tc>
          <w:tcPr>
            <w:tcW w:w="2436" w:type="dxa"/>
            <w:tcBorders>
              <w:top w:val="single" w:color="auto" w:sz="4" w:space="0"/>
              <w:left w:val="single" w:color="auto" w:sz="4" w:space="0"/>
              <w:right w:val="single" w:color="auto" w:sz="4" w:space="0"/>
            </w:tcBorders>
            <w:noWrap w:val="0"/>
            <w:vAlign w:val="center"/>
          </w:tcPr>
          <w:p w14:paraId="67AB9C01">
            <w:pPr>
              <w:spacing w:line="400" w:lineRule="exact"/>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备注</w:t>
            </w:r>
          </w:p>
        </w:tc>
      </w:tr>
      <w:tr w14:paraId="1F20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753" w:type="dxa"/>
            <w:tcBorders>
              <w:top w:val="single" w:color="auto" w:sz="4" w:space="0"/>
              <w:left w:val="single" w:color="auto" w:sz="4" w:space="0"/>
              <w:right w:val="single" w:color="auto" w:sz="4" w:space="0"/>
            </w:tcBorders>
            <w:noWrap w:val="0"/>
            <w:vAlign w:val="center"/>
          </w:tcPr>
          <w:p w14:paraId="3A0628A2">
            <w:pPr>
              <w:spacing w:line="400" w:lineRule="exact"/>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2024年职工劳保服采购</w:t>
            </w:r>
          </w:p>
        </w:tc>
        <w:tc>
          <w:tcPr>
            <w:tcW w:w="2203" w:type="dxa"/>
            <w:tcBorders>
              <w:top w:val="single" w:color="auto" w:sz="4" w:space="0"/>
              <w:left w:val="single" w:color="auto" w:sz="4" w:space="0"/>
              <w:right w:val="single" w:color="auto" w:sz="4" w:space="0"/>
            </w:tcBorders>
            <w:noWrap w:val="0"/>
            <w:vAlign w:val="center"/>
          </w:tcPr>
          <w:p w14:paraId="53101260">
            <w:pPr>
              <w:spacing w:line="400" w:lineRule="exact"/>
              <w:jc w:val="center"/>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1批</w:t>
            </w:r>
          </w:p>
        </w:tc>
        <w:tc>
          <w:tcPr>
            <w:tcW w:w="2436" w:type="dxa"/>
            <w:tcBorders>
              <w:top w:val="single" w:color="auto" w:sz="4" w:space="0"/>
              <w:left w:val="single" w:color="auto" w:sz="4" w:space="0"/>
              <w:right w:val="single" w:color="auto" w:sz="4" w:space="0"/>
            </w:tcBorders>
            <w:noWrap w:val="0"/>
            <w:vAlign w:val="center"/>
          </w:tcPr>
          <w:p w14:paraId="4D6AC3E0">
            <w:pPr>
              <w:spacing w:line="400" w:lineRule="exact"/>
              <w:ind w:firstLine="480" w:firstLineChars="200"/>
              <w:rPr>
                <w:rFonts w:hint="eastAsia" w:ascii="方正仿宋_GBK" w:hAnsi="宋体" w:eastAsia="方正仿宋_GBK" w:cs="Times New Roman"/>
                <w:color w:val="auto"/>
                <w:sz w:val="24"/>
                <w:szCs w:val="24"/>
                <w:lang w:val="en-US" w:eastAsia="zh-CN"/>
              </w:rPr>
            </w:pPr>
          </w:p>
        </w:tc>
      </w:tr>
    </w:tbl>
    <w:p w14:paraId="0695A803">
      <w:pPr>
        <w:pStyle w:val="3"/>
        <w:adjustRightInd w:val="0"/>
        <w:snapToGrid w:val="0"/>
        <w:spacing w:before="0" w:after="0" w:line="400" w:lineRule="exact"/>
        <w:ind w:firstLine="480" w:firstLineChars="200"/>
        <w:rPr>
          <w:rFonts w:hint="eastAsia" w:ascii="方正仿宋_GBK" w:hAnsi="宋体" w:eastAsia="方正仿宋_GBK" w:cs="Times New Roman"/>
          <w:color w:val="auto"/>
          <w:sz w:val="24"/>
          <w:lang w:val="en-US" w:eastAsia="zh-CN"/>
        </w:rPr>
      </w:pPr>
    </w:p>
    <w:p w14:paraId="2FC3205B">
      <w:pPr>
        <w:pStyle w:val="3"/>
        <w:adjustRightInd w:val="0"/>
        <w:snapToGrid w:val="0"/>
        <w:spacing w:before="0" w:after="0" w:line="400" w:lineRule="exact"/>
        <w:rPr>
          <w:rFonts w:hint="eastAsia" w:ascii="方正仿宋_GBK" w:hAnsi="宋体" w:eastAsia="方正仿宋_GBK" w:cs="Times New Roman"/>
          <w:color w:val="auto"/>
          <w:sz w:val="24"/>
          <w:lang w:val="en-US" w:eastAsia="zh-CN"/>
        </w:rPr>
      </w:pPr>
      <w:r>
        <w:rPr>
          <w:rFonts w:hint="eastAsia" w:ascii="方正仿宋_GBK" w:hAnsi="宋体" w:eastAsia="方正仿宋_GBK" w:cs="Times New Roman"/>
          <w:color w:val="auto"/>
          <w:sz w:val="24"/>
          <w:lang w:val="en-US" w:eastAsia="zh-CN"/>
        </w:rPr>
        <w:t>二、项目技术参数要求：</w:t>
      </w:r>
    </w:p>
    <w:tbl>
      <w:tblPr>
        <w:tblStyle w:val="58"/>
        <w:tblpPr w:leftFromText="180" w:rightFromText="180" w:vertAnchor="text" w:horzAnchor="page" w:tblpXSpec="center" w:tblpY="579"/>
        <w:tblOverlap w:val="never"/>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5198"/>
        <w:gridCol w:w="845"/>
        <w:gridCol w:w="917"/>
        <w:gridCol w:w="1034"/>
      </w:tblGrid>
      <w:tr w14:paraId="781C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15F9E5BD">
            <w:pPr>
              <w:jc w:val="center"/>
              <w:rPr>
                <w:rFonts w:hint="eastAsia" w:ascii="仿宋_GB2312" w:hAnsi="仿宋_GB2312" w:eastAsia="仿宋_GB2312" w:cs="仿宋_GB2312"/>
                <w:b/>
                <w:color w:val="auto"/>
                <w:szCs w:val="28"/>
              </w:rPr>
            </w:pPr>
            <w:bookmarkStart w:id="29" w:name="_Toc106030882"/>
            <w:bookmarkStart w:id="30" w:name="_Toc76462327"/>
            <w:r>
              <w:rPr>
                <w:rFonts w:hint="eastAsia" w:ascii="仿宋_GB2312" w:hAnsi="仿宋_GB2312" w:eastAsia="仿宋_GB2312" w:cs="仿宋_GB2312"/>
                <w:b/>
                <w:color w:val="auto"/>
                <w:szCs w:val="28"/>
              </w:rPr>
              <w:t>品名</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64A2DF84">
            <w:pPr>
              <w:jc w:val="center"/>
              <w:rPr>
                <w:rFonts w:hint="eastAsia" w:ascii="仿宋_GB2312" w:hAnsi="仿宋_GB2312" w:eastAsia="仿宋_GB2312" w:cs="仿宋_GB2312"/>
                <w:b/>
                <w:color w:val="auto"/>
                <w:szCs w:val="28"/>
              </w:rPr>
            </w:pPr>
            <w:r>
              <w:rPr>
                <w:rFonts w:hint="eastAsia" w:ascii="仿宋_GB2312" w:hAnsi="仿宋_GB2312" w:eastAsia="仿宋_GB2312" w:cs="仿宋_GB2312"/>
                <w:b/>
                <w:color w:val="auto"/>
                <w:szCs w:val="28"/>
              </w:rPr>
              <w:t>规格参数</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590E6571">
            <w:pPr>
              <w:jc w:val="center"/>
              <w:rPr>
                <w:rFonts w:hint="eastAsia" w:ascii="仿宋_GB2312" w:hAnsi="仿宋_GB2312" w:eastAsia="仿宋_GB2312" w:cs="仿宋_GB2312"/>
                <w:b/>
                <w:color w:val="auto"/>
                <w:szCs w:val="28"/>
              </w:rPr>
            </w:pPr>
            <w:r>
              <w:rPr>
                <w:rFonts w:hint="eastAsia" w:ascii="仿宋_GB2312" w:hAnsi="仿宋_GB2312" w:eastAsia="仿宋_GB2312" w:cs="仿宋_GB2312"/>
                <w:b/>
                <w:color w:val="auto"/>
                <w:szCs w:val="28"/>
              </w:rPr>
              <w:t>单位</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00C20F77">
            <w:pPr>
              <w:jc w:val="center"/>
              <w:rPr>
                <w:rFonts w:hint="eastAsia" w:ascii="仿宋_GB2312" w:hAnsi="仿宋_GB2312" w:eastAsia="仿宋_GB2312" w:cs="仿宋_GB2312"/>
                <w:b/>
                <w:color w:val="auto"/>
                <w:szCs w:val="28"/>
              </w:rPr>
            </w:pPr>
            <w:r>
              <w:rPr>
                <w:rFonts w:hint="eastAsia" w:ascii="仿宋_GB2312" w:hAnsi="仿宋_GB2312" w:eastAsia="仿宋_GB2312" w:cs="仿宋_GB2312"/>
                <w:b/>
                <w:color w:val="auto"/>
                <w:szCs w:val="28"/>
              </w:rPr>
              <w:t>数量</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44FD938">
            <w:pPr>
              <w:jc w:val="center"/>
              <w:rPr>
                <w:rFonts w:hint="eastAsia" w:ascii="仿宋_GB2312" w:hAnsi="仿宋_GB2312" w:eastAsia="仿宋_GB2312" w:cs="仿宋_GB2312"/>
                <w:b/>
                <w:color w:val="auto"/>
                <w:szCs w:val="28"/>
                <w:lang w:eastAsia="zh-CN"/>
              </w:rPr>
            </w:pPr>
            <w:r>
              <w:rPr>
                <w:rFonts w:hint="eastAsia" w:ascii="仿宋_GB2312" w:hAnsi="仿宋_GB2312" w:eastAsia="仿宋_GB2312" w:cs="仿宋_GB2312"/>
                <w:b/>
                <w:color w:val="auto"/>
                <w:szCs w:val="28"/>
                <w:lang w:eastAsia="zh-CN"/>
              </w:rPr>
              <w:t>备注</w:t>
            </w:r>
          </w:p>
        </w:tc>
      </w:tr>
      <w:tr w14:paraId="6CD2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082BF8FA">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劳保</w:t>
            </w:r>
          </w:p>
          <w:p w14:paraId="0D7A512E">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T恤</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140AAC61">
            <w:pPr>
              <w:widowControl/>
              <w:jc w:val="left"/>
              <w:textAlignment w:val="bottom"/>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100%</w:t>
            </w:r>
            <w:r>
              <w:rPr>
                <w:rStyle w:val="238"/>
                <w:rFonts w:hint="eastAsia" w:ascii="仿宋_GB2312" w:hAnsi="仿宋_GB2312" w:eastAsia="仿宋_GB2312" w:cs="仿宋_GB2312"/>
                <w:color w:val="auto"/>
                <w:sz w:val="24"/>
                <w:szCs w:val="24"/>
                <w:lang w:bidi="ar"/>
              </w:rPr>
              <w:t>丝光棉</w:t>
            </w:r>
            <w:r>
              <w:rPr>
                <w:rFonts w:hint="eastAsia" w:ascii="仿宋_GB2312" w:hAnsi="仿宋_GB2312" w:eastAsia="仿宋_GB2312" w:cs="仿宋_GB2312"/>
                <w:color w:val="auto"/>
                <w:kern w:val="0"/>
                <w:sz w:val="24"/>
                <w:szCs w:val="24"/>
                <w:lang w:bidi="ar"/>
              </w:rPr>
              <w:t xml:space="preserve">  160GSM</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BD72D9C">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件</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4959E1DB">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168</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BE9D94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提供样品</w:t>
            </w:r>
          </w:p>
        </w:tc>
      </w:tr>
      <w:tr w14:paraId="003F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7B216BB9">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劳保</w:t>
            </w:r>
          </w:p>
          <w:p w14:paraId="438AFB78">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衬衫</w:t>
            </w:r>
          </w:p>
        </w:tc>
        <w:tc>
          <w:tcPr>
            <w:tcW w:w="5198" w:type="dxa"/>
            <w:tcBorders>
              <w:top w:val="single" w:color="auto" w:sz="4" w:space="0"/>
              <w:left w:val="single" w:color="auto" w:sz="4" w:space="0"/>
              <w:bottom w:val="single" w:color="auto" w:sz="4" w:space="0"/>
              <w:right w:val="single" w:color="auto" w:sz="4" w:space="0"/>
            </w:tcBorders>
            <w:noWrap w:val="0"/>
            <w:vAlign w:val="bottom"/>
          </w:tcPr>
          <w:p w14:paraId="56966E8F">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（一）面料</w:t>
            </w:r>
          </w:p>
          <w:p w14:paraId="55DCCACF">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1.纤维含量：50%玉竹纤维46%再生纤维3%氨纶，符合FZ/T 81007-2022要求；</w:t>
            </w:r>
          </w:p>
          <w:p w14:paraId="4FC40DA0">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2.单位面积质量（g/m²）≥200；</w:t>
            </w:r>
          </w:p>
          <w:p w14:paraId="757FDD78">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3.pH值：符合GB 18401-2010（B类）要求，4.0～8.5；</w:t>
            </w:r>
          </w:p>
          <w:p w14:paraId="5C56D9F6">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4.甲醛含量（mg/kg)：符合GB 18401-2010（B类）要求，≤75；</w:t>
            </w:r>
          </w:p>
          <w:p w14:paraId="5765E088">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5.可分解致癌芳香胺染料：符合GB 18401-2010（B类）要求，禁用（≤20mg/kg）；</w:t>
            </w:r>
          </w:p>
          <w:p w14:paraId="7CBB7F5A">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6.异味：符合GB 18401-2010（B类）要求，无异味；</w:t>
            </w:r>
          </w:p>
          <w:p w14:paraId="742D5DAB">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7.断裂强力：经向≥1300N，纬向≥700N；</w:t>
            </w:r>
          </w:p>
          <w:p w14:paraId="23A33982">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10.起球：符合FZ/T 81007-2022优等品要求，≥4级；</w:t>
            </w:r>
          </w:p>
          <w:p w14:paraId="0743A088">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8.抗菌性能（洗涤3次后)：符合GB/T 20944.3-2008标准抗菌效果评价要求，金黄色葡萄球菌抑菌率≥70%，大肠杆菌抑菌率≥70%，白色念珠菌抑菌率≥60%。</w:t>
            </w:r>
          </w:p>
          <w:p w14:paraId="301830E1">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（二）成衣</w:t>
            </w:r>
          </w:p>
          <w:p w14:paraId="6A286D93">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9.水洗尺寸变化率：符合FZ/T 81007-2022优等品要求，领大≥-1.0%，胸围≥-1.5%，衣长≥-1.5%；</w:t>
            </w:r>
          </w:p>
          <w:p w14:paraId="4590961C">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10.缝子纰裂程度：符合FZ/T 81007-2022要求，≤0.6cm；</w:t>
            </w:r>
          </w:p>
          <w:p w14:paraId="46C1DC92">
            <w:pPr>
              <w:widowControl/>
              <w:jc w:val="left"/>
              <w:textAlignment w:val="bottom"/>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11.外观质量：应符合FZ/T 81007-2022优等品要求。</w:t>
            </w:r>
          </w:p>
          <w:p w14:paraId="65528360">
            <w:pPr>
              <w:widowControl/>
              <w:jc w:val="left"/>
              <w:textAlignment w:val="bottom"/>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color w:val="auto"/>
                <w:kern w:val="0"/>
                <w:sz w:val="24"/>
                <w:szCs w:val="24"/>
                <w:lang w:val="en-US" w:eastAsia="zh-CN" w:bidi="ar"/>
              </w:rPr>
              <w:t>注：供应商需提供国家认可的具有CMA和CNAS资质的第三方检测机构出具的检验报告复印件，检验项目包含但不限于上述1-11项检验项目。原件必查，未提供检测报告，即做无效响应处理。检验报告须有有效二维码，采购人有权现场针对提交的检验报告进行二维码扫描核查。</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499CEEF2">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件</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11ED1ED7">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168</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EF9E92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提供样品</w:t>
            </w:r>
          </w:p>
        </w:tc>
      </w:tr>
      <w:tr w14:paraId="40D1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53428507">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劳保裤</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62D3EFEB">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面料成分含量：68%涤纶29%再生纤维3%氨纶、40s/2*32s/2+40D</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平方米重量：180g/㎡（±3）</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洗后外观平整度达到SA-3.5标准；</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断裂强力：经向≥800N，纬向≥400N；耐水色牢度、耐酸碱汗渍色牢度≥4级</w:t>
            </w:r>
            <w:r>
              <w:rPr>
                <w:rFonts w:hint="eastAsia" w:ascii="仿宋_GB2312" w:hAnsi="仿宋_GB2312" w:eastAsia="仿宋_GB2312" w:cs="仿宋_GB2312"/>
                <w:color w:val="auto"/>
                <w:kern w:val="0"/>
                <w:sz w:val="24"/>
                <w:szCs w:val="24"/>
                <w:lang w:eastAsia="zh-CN" w:bidi="ar"/>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CB256DA">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条</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26637265">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168</w:t>
            </w:r>
          </w:p>
        </w:tc>
        <w:tc>
          <w:tcPr>
            <w:tcW w:w="1034" w:type="dxa"/>
            <w:vMerge w:val="restart"/>
            <w:tcBorders>
              <w:top w:val="single" w:color="auto" w:sz="4" w:space="0"/>
              <w:left w:val="single" w:color="auto" w:sz="4" w:space="0"/>
              <w:right w:val="single" w:color="auto" w:sz="4" w:space="0"/>
            </w:tcBorders>
            <w:noWrap w:val="0"/>
            <w:vAlign w:val="center"/>
          </w:tcPr>
          <w:p w14:paraId="0BCC955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劳保裤</w:t>
            </w:r>
            <w:r>
              <w:rPr>
                <w:rFonts w:hint="eastAsia" w:ascii="仿宋_GB2312" w:hAnsi="仿宋_GB2312" w:eastAsia="仿宋_GB2312" w:cs="仿宋_GB2312"/>
                <w:color w:val="auto"/>
                <w:kern w:val="0"/>
                <w:sz w:val="24"/>
                <w:szCs w:val="24"/>
                <w:lang w:eastAsia="zh-CN" w:bidi="ar"/>
              </w:rPr>
              <w:t>或</w:t>
            </w:r>
            <w:r>
              <w:rPr>
                <w:rFonts w:hint="eastAsia" w:ascii="仿宋_GB2312" w:hAnsi="仿宋_GB2312" w:eastAsia="仿宋_GB2312" w:cs="仿宋_GB2312"/>
                <w:color w:val="auto"/>
                <w:kern w:val="0"/>
                <w:sz w:val="24"/>
                <w:szCs w:val="24"/>
                <w:lang w:bidi="ar"/>
              </w:rPr>
              <w:t>多袋裤</w:t>
            </w:r>
            <w:r>
              <w:rPr>
                <w:rFonts w:hint="eastAsia" w:ascii="仿宋_GB2312" w:hAnsi="仿宋_GB2312" w:eastAsia="仿宋_GB2312" w:cs="仿宋_GB2312"/>
                <w:color w:val="auto"/>
                <w:kern w:val="0"/>
                <w:sz w:val="24"/>
                <w:szCs w:val="24"/>
                <w:lang w:eastAsia="zh-CN" w:bidi="ar"/>
              </w:rPr>
              <w:t>任选其一提供样品</w:t>
            </w:r>
          </w:p>
        </w:tc>
      </w:tr>
      <w:tr w14:paraId="2C2C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06D7BE4D">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多袋裤</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63AD9DD0">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面料成分含量：68%涤纶29%再生纤维3%氨纶、40s/2*32s/2+40D</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平方米重量：180g/㎡（±3）</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洗后外观平整度达到SA-3.5标准；</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断裂强力：经向≥800N，纬向≥400N；耐水色牢度、耐酸碱汗渍色牢度≥4级</w:t>
            </w:r>
            <w:r>
              <w:rPr>
                <w:rFonts w:hint="eastAsia" w:ascii="仿宋_GB2312" w:hAnsi="仿宋_GB2312" w:eastAsia="仿宋_GB2312" w:cs="仿宋_GB2312"/>
                <w:color w:val="auto"/>
                <w:kern w:val="0"/>
                <w:sz w:val="24"/>
                <w:szCs w:val="24"/>
                <w:lang w:eastAsia="zh-CN" w:bidi="ar"/>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43C4F4D3">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条</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3C5EABB7">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168</w:t>
            </w:r>
          </w:p>
        </w:tc>
        <w:tc>
          <w:tcPr>
            <w:tcW w:w="1034" w:type="dxa"/>
            <w:vMerge w:val="continue"/>
            <w:tcBorders>
              <w:left w:val="single" w:color="auto" w:sz="4" w:space="0"/>
              <w:bottom w:val="single" w:color="auto" w:sz="4" w:space="0"/>
              <w:right w:val="single" w:color="auto" w:sz="4" w:space="0"/>
            </w:tcBorders>
            <w:noWrap w:val="0"/>
            <w:vAlign w:val="center"/>
          </w:tcPr>
          <w:p w14:paraId="5CF3465D">
            <w:pPr>
              <w:widowControl/>
              <w:jc w:val="center"/>
              <w:textAlignment w:val="center"/>
              <w:rPr>
                <w:rFonts w:hint="eastAsia" w:ascii="仿宋_GB2312" w:hAnsi="仿宋_GB2312" w:eastAsia="仿宋_GB2312" w:cs="仿宋_GB2312"/>
                <w:color w:val="auto"/>
                <w:kern w:val="0"/>
                <w:sz w:val="24"/>
                <w:szCs w:val="24"/>
                <w:lang w:val="en-US" w:eastAsia="zh-CN" w:bidi="ar"/>
              </w:rPr>
            </w:pPr>
          </w:p>
        </w:tc>
      </w:tr>
      <w:tr w14:paraId="6D80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348548C3">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夹克</w:t>
            </w:r>
          </w:p>
        </w:tc>
        <w:tc>
          <w:tcPr>
            <w:tcW w:w="5198" w:type="dxa"/>
            <w:tcBorders>
              <w:top w:val="single" w:color="auto" w:sz="4" w:space="0"/>
              <w:left w:val="single" w:color="auto" w:sz="4" w:space="0"/>
              <w:bottom w:val="single" w:color="auto" w:sz="4" w:space="0"/>
              <w:right w:val="single" w:color="auto" w:sz="4" w:space="0"/>
            </w:tcBorders>
            <w:noWrap w:val="0"/>
            <w:vAlign w:val="bottom"/>
          </w:tcPr>
          <w:p w14:paraId="6A1F647C">
            <w:pPr>
              <w:widowControl/>
              <w:jc w:val="left"/>
              <w:textAlignment w:val="bottom"/>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面料成分含量：67%涤纶31%再生纤维2%氨纶、32s/2*40s/2+40D</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平方米重量：285g/㎡（±3）</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洗后外观平整度达到SA-3.5标准；</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断裂强力：经向≥800N，纬向≥400N；耐水色牢度、耐酸碱汗渍色牢度≥4级</w:t>
            </w:r>
            <w:r>
              <w:rPr>
                <w:rFonts w:hint="eastAsia" w:ascii="仿宋_GB2312" w:hAnsi="仿宋_GB2312" w:eastAsia="仿宋_GB2312" w:cs="仿宋_GB2312"/>
                <w:color w:val="auto"/>
                <w:kern w:val="0"/>
                <w:sz w:val="24"/>
                <w:szCs w:val="24"/>
                <w:lang w:eastAsia="zh-CN" w:bidi="ar"/>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6CE06E9">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件</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6C0330C1">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168</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518BBB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提供样品</w:t>
            </w:r>
          </w:p>
        </w:tc>
      </w:tr>
      <w:tr w14:paraId="62CC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699FA9CB">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劳保工作服（摇粒绒内胆冲锋衣）</w:t>
            </w:r>
          </w:p>
        </w:tc>
        <w:tc>
          <w:tcPr>
            <w:tcW w:w="5198" w:type="dxa"/>
            <w:tcBorders>
              <w:top w:val="single" w:color="auto" w:sz="4" w:space="0"/>
              <w:left w:val="single" w:color="auto" w:sz="4" w:space="0"/>
              <w:bottom w:val="single" w:color="auto" w:sz="4" w:space="0"/>
              <w:right w:val="single" w:color="auto" w:sz="4" w:space="0"/>
            </w:tcBorders>
            <w:noWrap w:val="0"/>
            <w:vAlign w:val="bottom"/>
          </w:tcPr>
          <w:p w14:paraId="7EF4E59B">
            <w:pPr>
              <w:widowControl/>
              <w:jc w:val="left"/>
              <w:textAlignment w:val="bottom"/>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面料成分含量：100%聚酯纤维（内胆摇粒绒可单穿300g/件以上）</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透气性能为≥3000g/m^2/24Hr,</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防水性能为≥5000mmH2O，</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平方米重量：220g/㎡（±4%）</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静态尺寸变化率：经向≤1%，纬向：≤1%；</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断裂强力：经向≥600N，纬向≥600N；</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撕破强力：经向≥15N，纬向≥20N；</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线密度：经向20tex（±2）纬向20tex（±2）</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C91C023">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件</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622C9AF1">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84</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99F9A2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提供样品</w:t>
            </w:r>
          </w:p>
        </w:tc>
      </w:tr>
      <w:tr w14:paraId="3150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568ED30C">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劳保工作鞋(夏款）</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6732A996">
            <w:pPr>
              <w:widowControl/>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网面/皮面，耐磨防滑、防静电鞋底</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5CD949F6">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双</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7AF8C1AE">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84</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6EDC948">
            <w:pPr>
              <w:widowControl/>
              <w:jc w:val="center"/>
              <w:textAlignment w:val="center"/>
              <w:rPr>
                <w:rFonts w:hint="eastAsia" w:ascii="仿宋_GB2312" w:hAnsi="仿宋_GB2312" w:eastAsia="仿宋_GB2312" w:cs="仿宋_GB2312"/>
                <w:color w:val="auto"/>
                <w:kern w:val="0"/>
                <w:sz w:val="24"/>
                <w:szCs w:val="24"/>
                <w:lang w:val="en-US" w:eastAsia="zh-CN" w:bidi="ar"/>
              </w:rPr>
            </w:pPr>
          </w:p>
        </w:tc>
      </w:tr>
      <w:tr w14:paraId="4594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50" w:type="dxa"/>
            <w:tcBorders>
              <w:top w:val="single" w:color="auto" w:sz="4" w:space="0"/>
              <w:left w:val="single" w:color="auto" w:sz="4" w:space="0"/>
              <w:bottom w:val="single" w:color="auto" w:sz="4" w:space="0"/>
              <w:right w:val="single" w:color="auto" w:sz="4" w:space="0"/>
            </w:tcBorders>
            <w:noWrap w:val="0"/>
            <w:vAlign w:val="center"/>
          </w:tcPr>
          <w:p w14:paraId="17108EFC">
            <w:pPr>
              <w:widowControl/>
              <w:jc w:val="center"/>
              <w:textAlignment w:val="center"/>
              <w:rPr>
                <w:rFonts w:hint="eastAsia" w:ascii="仿宋_GB2312" w:hAnsi="仿宋_GB2312" w:eastAsia="仿宋_GB2312" w:cs="仿宋_GB2312"/>
                <w:color w:val="auto"/>
                <w:szCs w:val="28"/>
              </w:rPr>
            </w:pPr>
            <w:r>
              <w:rPr>
                <w:rFonts w:hint="eastAsia" w:ascii="仿宋_GB2312" w:hAnsi="仿宋_GB2312" w:eastAsia="仿宋_GB2312" w:cs="仿宋_GB2312"/>
                <w:color w:val="auto"/>
                <w:kern w:val="0"/>
                <w:sz w:val="24"/>
                <w:szCs w:val="24"/>
                <w:lang w:bidi="ar"/>
              </w:rPr>
              <w:t>劳保工作鞋（冬款）</w:t>
            </w:r>
          </w:p>
        </w:tc>
        <w:tc>
          <w:tcPr>
            <w:tcW w:w="5198" w:type="dxa"/>
            <w:tcBorders>
              <w:top w:val="single" w:color="auto" w:sz="4" w:space="0"/>
              <w:left w:val="single" w:color="auto" w:sz="4" w:space="0"/>
              <w:bottom w:val="single" w:color="auto" w:sz="4" w:space="0"/>
              <w:right w:val="single" w:color="auto" w:sz="4" w:space="0"/>
            </w:tcBorders>
            <w:noWrap w:val="0"/>
            <w:vAlign w:val="center"/>
          </w:tcPr>
          <w:p w14:paraId="34461599">
            <w:pPr>
              <w:widowControl/>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耐磨防滑、防静电鞋底</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625CD0D7">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双</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0246CFF9">
            <w:pPr>
              <w:widowControl/>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val="en-US" w:eastAsia="zh-CN" w:bidi="ar"/>
              </w:rPr>
              <w:t>84</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0AA8000">
            <w:pPr>
              <w:widowControl/>
              <w:jc w:val="center"/>
              <w:textAlignment w:val="center"/>
              <w:rPr>
                <w:rFonts w:hint="eastAsia" w:ascii="仿宋_GB2312" w:hAnsi="仿宋_GB2312" w:eastAsia="仿宋_GB2312" w:cs="仿宋_GB2312"/>
                <w:color w:val="auto"/>
                <w:kern w:val="0"/>
                <w:sz w:val="24"/>
                <w:szCs w:val="24"/>
                <w:lang w:val="en-US" w:eastAsia="zh-CN" w:bidi="ar"/>
              </w:rPr>
            </w:pPr>
          </w:p>
        </w:tc>
      </w:tr>
    </w:tbl>
    <w:p w14:paraId="5D6CAD89">
      <w:pPr>
        <w:rPr>
          <w:rFonts w:hint="eastAsia" w:ascii="方正仿宋_GBK" w:hAnsi="宋体" w:eastAsia="方正仿宋_GBK" w:cs="Times New Roman"/>
          <w:b/>
          <w:color w:val="auto"/>
          <w:kern w:val="2"/>
          <w:sz w:val="24"/>
          <w:lang w:val="en-US" w:eastAsia="zh-CN" w:bidi="ar-SA"/>
        </w:rPr>
      </w:pPr>
    </w:p>
    <w:p w14:paraId="5C34FBDD">
      <w:pPr>
        <w:pStyle w:val="3"/>
        <w:adjustRightInd w:val="0"/>
        <w:snapToGrid w:val="0"/>
        <w:spacing w:before="0" w:after="0" w:line="400" w:lineRule="exact"/>
        <w:rPr>
          <w:rFonts w:hint="eastAsia" w:ascii="方正仿宋_GBK" w:hAnsi="宋体" w:eastAsia="方正仿宋_GBK" w:cs="Times New Roman"/>
          <w:color w:val="auto"/>
          <w:sz w:val="24"/>
          <w:lang w:val="en-US" w:eastAsia="zh-CN"/>
        </w:rPr>
      </w:pPr>
      <w:r>
        <w:rPr>
          <w:rFonts w:hint="eastAsia" w:ascii="方正仿宋_GBK" w:hAnsi="宋体" w:eastAsia="方正仿宋_GBK" w:cs="Times New Roman"/>
          <w:color w:val="auto"/>
          <w:sz w:val="24"/>
          <w:lang w:val="en-US" w:eastAsia="zh-CN"/>
        </w:rPr>
        <w:t>三、招标项目说明</w:t>
      </w:r>
    </w:p>
    <w:p w14:paraId="2DB5A938">
      <w:pPr>
        <w:bidi w:val="0"/>
        <w:ind w:firstLine="560" w:firstLineChars="200"/>
        <w:rPr>
          <w:rFonts w:hint="eastAsia"/>
          <w:color w:val="auto"/>
        </w:rPr>
      </w:pPr>
      <w:r>
        <w:rPr>
          <w:rFonts w:hint="eastAsia" w:ascii="仿宋_GB2312" w:hAnsi="仿宋_GB2312" w:eastAsia="仿宋_GB2312" w:cs="仿宋_GB2312"/>
          <w:color w:val="auto"/>
          <w:sz w:val="28"/>
          <w:szCs w:val="28"/>
          <w:lang w:val="en-US" w:eastAsia="zh-CN"/>
        </w:rPr>
        <w:t>1、投标时需提供样品，</w:t>
      </w:r>
      <w:r>
        <w:rPr>
          <w:rFonts w:hint="eastAsia" w:ascii="仿宋_GB2312" w:hAnsi="仿宋_GB2312" w:eastAsia="仿宋_GB2312" w:cs="仿宋_GB2312"/>
          <w:color w:val="auto"/>
          <w:sz w:val="28"/>
          <w:szCs w:val="28"/>
        </w:rPr>
        <w:t>样品必须与所投货物相一致</w:t>
      </w:r>
      <w:r>
        <w:rPr>
          <w:rFonts w:hint="eastAsia" w:ascii="仿宋_GB2312" w:hAnsi="仿宋_GB2312" w:eastAsia="仿宋_GB2312" w:cs="仿宋_GB2312"/>
          <w:color w:val="auto"/>
          <w:sz w:val="28"/>
          <w:szCs w:val="28"/>
          <w:lang w:eastAsia="zh-CN"/>
        </w:rPr>
        <w:t>；</w:t>
      </w:r>
    </w:p>
    <w:p w14:paraId="7A901257">
      <w:pPr>
        <w:spacing w:line="560" w:lineRule="exact"/>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b w:val="0"/>
          <w:bCs w:val="0"/>
          <w:color w:val="auto"/>
          <w:sz w:val="28"/>
          <w:szCs w:val="28"/>
        </w:rPr>
        <w:t>样品评审方式：</w:t>
      </w:r>
    </w:p>
    <w:p w14:paraId="3E38E9E6">
      <w:pPr>
        <w:spacing w:line="560" w:lineRule="exact"/>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2.1</w:t>
      </w:r>
      <w:r>
        <w:rPr>
          <w:rFonts w:hint="eastAsia" w:ascii="仿宋_GB2312" w:hAnsi="仿宋_GB2312" w:eastAsia="仿宋_GB2312" w:cs="仿宋_GB2312"/>
          <w:b w:val="0"/>
          <w:bCs w:val="0"/>
          <w:color w:val="auto"/>
          <w:sz w:val="28"/>
          <w:szCs w:val="28"/>
        </w:rPr>
        <w:t>样品采用明标评审，供应商须在样品外包装上注明供应商名称，请各供应商严格按照样品清单中对应的制作标准和要求制作。</w:t>
      </w:r>
    </w:p>
    <w:p w14:paraId="333D842D">
      <w:pPr>
        <w:spacing w:line="560" w:lineRule="exact"/>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2.2</w:t>
      </w:r>
      <w:r>
        <w:rPr>
          <w:rFonts w:hint="eastAsia" w:ascii="仿宋_GB2312" w:hAnsi="仿宋_GB2312" w:eastAsia="仿宋_GB2312" w:cs="仿宋_GB2312"/>
          <w:b w:val="0"/>
          <w:bCs w:val="0"/>
          <w:color w:val="auto"/>
          <w:sz w:val="28"/>
          <w:szCs w:val="28"/>
        </w:rPr>
        <w:t>样品规格尺寸仅为参考，不作为评审因素。</w:t>
      </w:r>
    </w:p>
    <w:p w14:paraId="2C7A3839">
      <w:pPr>
        <w:spacing w:line="560" w:lineRule="exact"/>
        <w:ind w:firstLine="560" w:firstLineChars="200"/>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2.3样品递交时间及地点：与响应文件一同递交。</w:t>
      </w:r>
    </w:p>
    <w:p w14:paraId="3897CE5A">
      <w:pPr>
        <w:spacing w:line="560" w:lineRule="exact"/>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3、服装类产品设计效果图</w:t>
      </w:r>
    </w:p>
    <w:p w14:paraId="67F27FE2">
      <w:pPr>
        <w:bidi w:val="0"/>
        <w:jc w:val="center"/>
        <w:rPr>
          <w:rFonts w:hint="eastAsia" w:ascii="仿宋_GB2312" w:hAnsi="仿宋_GB2312" w:eastAsia="仿宋_GB2312" w:cs="仿宋_GB2312"/>
          <w:b/>
          <w:bCs/>
          <w:color w:val="auto"/>
          <w:szCs w:val="28"/>
          <w:lang w:val="en-US" w:eastAsia="zh-CN"/>
        </w:rPr>
      </w:pPr>
      <w:r>
        <w:rPr>
          <w:rFonts w:hint="eastAsia" w:ascii="仿宋_GB2312" w:hAnsi="仿宋_GB2312" w:eastAsia="仿宋_GB2312" w:cs="仿宋_GB2312"/>
          <w:b/>
          <w:bCs/>
          <w:color w:val="auto"/>
          <w:lang w:val="en-US" w:eastAsia="zh-CN"/>
        </w:rPr>
        <w:t>劳保T恤、劳保裤</w:t>
      </w:r>
    </w:p>
    <w:p w14:paraId="125E3885">
      <w:pPr>
        <w:spacing w:line="400" w:lineRule="exac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drawing>
          <wp:anchor distT="0" distB="0" distL="114300" distR="114300" simplePos="0" relativeHeight="251663360" behindDoc="1" locked="0" layoutInCell="1" allowOverlap="1">
            <wp:simplePos x="0" y="0"/>
            <wp:positionH relativeFrom="column">
              <wp:posOffset>1378585</wp:posOffset>
            </wp:positionH>
            <wp:positionV relativeFrom="paragraph">
              <wp:posOffset>133985</wp:posOffset>
            </wp:positionV>
            <wp:extent cx="2787015" cy="3943985"/>
            <wp:effectExtent l="0" t="0" r="13335" b="18415"/>
            <wp:wrapNone/>
            <wp:docPr id="1" name="图片 2" descr="8098007b954a03f1f16b4b5fbfa4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8098007b954a03f1f16b4b5fbfa42a5"/>
                    <pic:cNvPicPr>
                      <a:picLocks noChangeAspect="1"/>
                    </pic:cNvPicPr>
                  </pic:nvPicPr>
                  <pic:blipFill>
                    <a:blip r:embed="rId25"/>
                    <a:stretch>
                      <a:fillRect/>
                    </a:stretch>
                  </pic:blipFill>
                  <pic:spPr>
                    <a:xfrm>
                      <a:off x="0" y="0"/>
                      <a:ext cx="2787015" cy="3943985"/>
                    </a:xfrm>
                    <a:prstGeom prst="rect">
                      <a:avLst/>
                    </a:prstGeom>
                    <a:noFill/>
                    <a:ln>
                      <a:noFill/>
                    </a:ln>
                  </pic:spPr>
                </pic:pic>
              </a:graphicData>
            </a:graphic>
          </wp:anchor>
        </w:drawing>
      </w:r>
    </w:p>
    <w:p w14:paraId="1B95349F">
      <w:pPr>
        <w:spacing w:line="400" w:lineRule="exact"/>
        <w:rPr>
          <w:rFonts w:hint="eastAsia" w:ascii="仿宋_GB2312" w:hAnsi="仿宋_GB2312" w:eastAsia="仿宋_GB2312" w:cs="仿宋_GB2312"/>
          <w:b/>
          <w:bCs/>
          <w:color w:val="auto"/>
          <w:sz w:val="28"/>
          <w:szCs w:val="28"/>
          <w:lang w:val="en-US" w:eastAsia="zh-CN"/>
        </w:rPr>
      </w:pPr>
    </w:p>
    <w:p w14:paraId="145E80D5">
      <w:pPr>
        <w:spacing w:line="400" w:lineRule="exact"/>
        <w:rPr>
          <w:rFonts w:hint="eastAsia" w:ascii="仿宋_GB2312" w:hAnsi="仿宋_GB2312" w:eastAsia="仿宋_GB2312" w:cs="仿宋_GB2312"/>
          <w:b/>
          <w:bCs/>
          <w:color w:val="auto"/>
          <w:sz w:val="28"/>
          <w:szCs w:val="28"/>
          <w:lang w:val="en-US" w:eastAsia="zh-CN"/>
        </w:rPr>
      </w:pPr>
    </w:p>
    <w:p w14:paraId="5842E48E">
      <w:pPr>
        <w:spacing w:line="400" w:lineRule="exact"/>
        <w:rPr>
          <w:rFonts w:hint="eastAsia" w:ascii="仿宋_GB2312" w:hAnsi="仿宋_GB2312" w:eastAsia="仿宋_GB2312" w:cs="仿宋_GB2312"/>
          <w:b/>
          <w:bCs/>
          <w:color w:val="auto"/>
          <w:sz w:val="28"/>
          <w:szCs w:val="28"/>
          <w:lang w:val="en-US" w:eastAsia="zh-CN"/>
        </w:rPr>
      </w:pPr>
    </w:p>
    <w:p w14:paraId="3D4B1924">
      <w:pPr>
        <w:spacing w:line="400" w:lineRule="exact"/>
        <w:rPr>
          <w:rFonts w:hint="eastAsia" w:ascii="仿宋_GB2312" w:hAnsi="仿宋_GB2312" w:eastAsia="仿宋_GB2312" w:cs="仿宋_GB2312"/>
          <w:b/>
          <w:bCs/>
          <w:color w:val="auto"/>
          <w:sz w:val="28"/>
          <w:szCs w:val="28"/>
          <w:lang w:val="en-US" w:eastAsia="zh-CN"/>
        </w:rPr>
      </w:pPr>
    </w:p>
    <w:p w14:paraId="41F6ADD3">
      <w:pPr>
        <w:spacing w:line="400" w:lineRule="exact"/>
        <w:rPr>
          <w:rFonts w:hint="eastAsia" w:ascii="仿宋_GB2312" w:hAnsi="仿宋_GB2312" w:eastAsia="仿宋_GB2312" w:cs="仿宋_GB2312"/>
          <w:b/>
          <w:bCs/>
          <w:color w:val="auto"/>
          <w:sz w:val="28"/>
          <w:szCs w:val="28"/>
          <w:lang w:val="en-US" w:eastAsia="zh-CN"/>
        </w:rPr>
      </w:pPr>
    </w:p>
    <w:p w14:paraId="7BAA313C">
      <w:pPr>
        <w:spacing w:line="400" w:lineRule="exact"/>
        <w:rPr>
          <w:rFonts w:hint="eastAsia" w:ascii="仿宋_GB2312" w:hAnsi="仿宋_GB2312" w:eastAsia="仿宋_GB2312" w:cs="仿宋_GB2312"/>
          <w:b/>
          <w:bCs/>
          <w:color w:val="auto"/>
          <w:sz w:val="28"/>
          <w:szCs w:val="28"/>
          <w:lang w:val="en-US" w:eastAsia="zh-CN"/>
        </w:rPr>
      </w:pPr>
    </w:p>
    <w:p w14:paraId="624648A6">
      <w:pPr>
        <w:spacing w:line="400" w:lineRule="exact"/>
        <w:rPr>
          <w:rFonts w:hint="eastAsia" w:ascii="仿宋_GB2312" w:hAnsi="仿宋_GB2312" w:eastAsia="仿宋_GB2312" w:cs="仿宋_GB2312"/>
          <w:b/>
          <w:bCs/>
          <w:color w:val="auto"/>
          <w:sz w:val="28"/>
          <w:szCs w:val="28"/>
          <w:lang w:val="en-US" w:eastAsia="zh-CN"/>
        </w:rPr>
      </w:pPr>
    </w:p>
    <w:p w14:paraId="2C751EC8">
      <w:pPr>
        <w:spacing w:line="400" w:lineRule="exact"/>
        <w:rPr>
          <w:rFonts w:hint="eastAsia" w:ascii="仿宋_GB2312" w:hAnsi="仿宋_GB2312" w:eastAsia="仿宋_GB2312" w:cs="仿宋_GB2312"/>
          <w:b/>
          <w:bCs/>
          <w:color w:val="auto"/>
          <w:sz w:val="28"/>
          <w:szCs w:val="28"/>
          <w:lang w:val="en-US" w:eastAsia="zh-CN"/>
        </w:rPr>
      </w:pPr>
    </w:p>
    <w:p w14:paraId="6A9B0B33">
      <w:pPr>
        <w:spacing w:line="400" w:lineRule="exact"/>
        <w:rPr>
          <w:rFonts w:hint="eastAsia" w:ascii="仿宋_GB2312" w:hAnsi="仿宋_GB2312" w:eastAsia="仿宋_GB2312" w:cs="仿宋_GB2312"/>
          <w:b/>
          <w:bCs/>
          <w:color w:val="auto"/>
          <w:sz w:val="28"/>
          <w:szCs w:val="28"/>
          <w:lang w:val="en-US" w:eastAsia="zh-CN"/>
        </w:rPr>
      </w:pPr>
    </w:p>
    <w:p w14:paraId="1E9C72C3">
      <w:pPr>
        <w:spacing w:line="400" w:lineRule="exact"/>
        <w:rPr>
          <w:rFonts w:hint="eastAsia" w:ascii="仿宋_GB2312" w:hAnsi="仿宋_GB2312" w:eastAsia="仿宋_GB2312" w:cs="仿宋_GB2312"/>
          <w:b/>
          <w:bCs/>
          <w:color w:val="auto"/>
          <w:sz w:val="28"/>
          <w:szCs w:val="28"/>
          <w:lang w:val="en-US" w:eastAsia="zh-CN"/>
        </w:rPr>
      </w:pPr>
    </w:p>
    <w:p w14:paraId="71A52BF0">
      <w:pPr>
        <w:spacing w:line="400" w:lineRule="exact"/>
        <w:rPr>
          <w:rFonts w:hint="eastAsia" w:ascii="仿宋_GB2312" w:hAnsi="仿宋_GB2312" w:eastAsia="仿宋_GB2312" w:cs="仿宋_GB2312"/>
          <w:b/>
          <w:bCs/>
          <w:color w:val="auto"/>
          <w:sz w:val="28"/>
          <w:szCs w:val="28"/>
          <w:lang w:val="en-US" w:eastAsia="zh-CN"/>
        </w:rPr>
      </w:pPr>
    </w:p>
    <w:p w14:paraId="0AD10839">
      <w:pPr>
        <w:spacing w:line="400" w:lineRule="exact"/>
        <w:rPr>
          <w:rFonts w:hint="eastAsia" w:ascii="仿宋_GB2312" w:hAnsi="仿宋_GB2312" w:eastAsia="仿宋_GB2312" w:cs="仿宋_GB2312"/>
          <w:b/>
          <w:bCs/>
          <w:color w:val="auto"/>
          <w:sz w:val="28"/>
          <w:szCs w:val="28"/>
          <w:lang w:val="en-US" w:eastAsia="zh-CN"/>
        </w:rPr>
      </w:pPr>
    </w:p>
    <w:p w14:paraId="0CDE45C7">
      <w:pPr>
        <w:spacing w:line="400" w:lineRule="exact"/>
        <w:rPr>
          <w:rFonts w:hint="eastAsia" w:ascii="仿宋_GB2312" w:hAnsi="仿宋_GB2312" w:eastAsia="仿宋_GB2312" w:cs="仿宋_GB2312"/>
          <w:b/>
          <w:bCs/>
          <w:color w:val="auto"/>
          <w:sz w:val="28"/>
          <w:szCs w:val="28"/>
          <w:lang w:val="en-US" w:eastAsia="zh-CN"/>
        </w:rPr>
      </w:pPr>
    </w:p>
    <w:p w14:paraId="096A3522">
      <w:pPr>
        <w:spacing w:line="400" w:lineRule="exact"/>
        <w:jc w:val="center"/>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drawing>
          <wp:anchor distT="0" distB="0" distL="114300" distR="114300" simplePos="0" relativeHeight="251661312" behindDoc="1" locked="0" layoutInCell="1" allowOverlap="1">
            <wp:simplePos x="0" y="0"/>
            <wp:positionH relativeFrom="column">
              <wp:posOffset>634365</wp:posOffset>
            </wp:positionH>
            <wp:positionV relativeFrom="paragraph">
              <wp:posOffset>727075</wp:posOffset>
            </wp:positionV>
            <wp:extent cx="4603115" cy="3413125"/>
            <wp:effectExtent l="0" t="0" r="6985" b="15875"/>
            <wp:wrapNone/>
            <wp:docPr id="2" name="图片 3" descr="9d533e7abb26c9024d0310f02af5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9d533e7abb26c9024d0310f02af511b"/>
                    <pic:cNvPicPr>
                      <a:picLocks noChangeAspect="1"/>
                    </pic:cNvPicPr>
                  </pic:nvPicPr>
                  <pic:blipFill>
                    <a:blip r:embed="rId26"/>
                    <a:srcRect l="12837" t="9253" r="12166" b="12085"/>
                    <a:stretch>
                      <a:fillRect/>
                    </a:stretch>
                  </pic:blipFill>
                  <pic:spPr>
                    <a:xfrm>
                      <a:off x="0" y="0"/>
                      <a:ext cx="4603115" cy="3413125"/>
                    </a:xfrm>
                    <a:prstGeom prst="rect">
                      <a:avLst/>
                    </a:prstGeom>
                    <a:noFill/>
                    <a:ln>
                      <a:noFill/>
                    </a:ln>
                  </pic:spPr>
                </pic:pic>
              </a:graphicData>
            </a:graphic>
          </wp:anchor>
        </w:drawing>
      </w:r>
      <w:r>
        <w:rPr>
          <w:rFonts w:hint="eastAsia" w:ascii="仿宋_GB2312" w:hAnsi="仿宋_GB2312" w:eastAsia="仿宋_GB2312" w:cs="仿宋_GB2312"/>
          <w:b/>
          <w:bCs/>
          <w:color w:val="auto"/>
          <w:sz w:val="28"/>
          <w:szCs w:val="28"/>
          <w:lang w:val="en-US" w:eastAsia="zh-CN"/>
        </w:rPr>
        <w:br w:type="page"/>
      </w:r>
      <w:r>
        <w:rPr>
          <w:rFonts w:hint="eastAsia" w:ascii="仿宋_GB2312" w:hAnsi="仿宋_GB2312" w:eastAsia="仿宋_GB2312" w:cs="仿宋_GB2312"/>
          <w:b/>
          <w:bCs/>
          <w:color w:val="auto"/>
          <w:sz w:val="28"/>
          <w:szCs w:val="28"/>
          <w:lang w:val="en-US" w:eastAsia="zh-CN"/>
        </w:rPr>
        <w:t>劳保衬衫</w:t>
      </w:r>
    </w:p>
    <w:p w14:paraId="66FBEE64">
      <w:pPr>
        <w:spacing w:line="400" w:lineRule="exact"/>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drawing>
          <wp:anchor distT="0" distB="0" distL="114300" distR="114300" simplePos="0" relativeHeight="251659264" behindDoc="1" locked="0" layoutInCell="1" allowOverlap="1">
            <wp:simplePos x="0" y="0"/>
            <wp:positionH relativeFrom="column">
              <wp:posOffset>1422400</wp:posOffset>
            </wp:positionH>
            <wp:positionV relativeFrom="paragraph">
              <wp:posOffset>86360</wp:posOffset>
            </wp:positionV>
            <wp:extent cx="3031490" cy="4289425"/>
            <wp:effectExtent l="0" t="0" r="16510" b="15875"/>
            <wp:wrapNone/>
            <wp:docPr id="3" name="图片 4" descr="7e71e84892ee05b57e462d203456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7e71e84892ee05b57e462d20345629b"/>
                    <pic:cNvPicPr>
                      <a:picLocks noChangeAspect="1"/>
                    </pic:cNvPicPr>
                  </pic:nvPicPr>
                  <pic:blipFill>
                    <a:blip r:embed="rId27"/>
                    <a:stretch>
                      <a:fillRect/>
                    </a:stretch>
                  </pic:blipFill>
                  <pic:spPr>
                    <a:xfrm>
                      <a:off x="0" y="0"/>
                      <a:ext cx="3031490" cy="4289425"/>
                    </a:xfrm>
                    <a:prstGeom prst="rect">
                      <a:avLst/>
                    </a:prstGeom>
                    <a:noFill/>
                    <a:ln>
                      <a:noFill/>
                    </a:ln>
                  </pic:spPr>
                </pic:pic>
              </a:graphicData>
            </a:graphic>
          </wp:anchor>
        </w:drawing>
      </w:r>
    </w:p>
    <w:p w14:paraId="4DC9C915">
      <w:pPr>
        <w:spacing w:line="400" w:lineRule="exact"/>
        <w:rPr>
          <w:rFonts w:hint="eastAsia" w:ascii="仿宋_GB2312" w:hAnsi="仿宋_GB2312" w:eastAsia="仿宋_GB2312" w:cs="仿宋_GB2312"/>
          <w:b/>
          <w:bCs/>
          <w:color w:val="auto"/>
          <w:sz w:val="28"/>
          <w:szCs w:val="28"/>
          <w:lang w:val="en-US" w:eastAsia="zh-CN"/>
        </w:rPr>
      </w:pPr>
    </w:p>
    <w:p w14:paraId="22D1646D">
      <w:pPr>
        <w:spacing w:line="400" w:lineRule="exact"/>
        <w:rPr>
          <w:rFonts w:hint="eastAsia" w:ascii="仿宋_GB2312" w:hAnsi="仿宋_GB2312" w:eastAsia="仿宋_GB2312" w:cs="仿宋_GB2312"/>
          <w:b/>
          <w:bCs/>
          <w:color w:val="auto"/>
          <w:sz w:val="28"/>
          <w:szCs w:val="28"/>
          <w:lang w:val="en-US" w:eastAsia="zh-CN"/>
        </w:rPr>
        <w:sectPr>
          <w:footerReference r:id="rId15" w:type="default"/>
          <w:footerReference r:id="rId16" w:type="even"/>
          <w:pgSz w:w="11907" w:h="16840"/>
          <w:pgMar w:top="1134" w:right="1191" w:bottom="1134" w:left="1304" w:header="964" w:footer="992" w:gutter="0"/>
          <w:pgNumType w:fmt="numberInDash"/>
          <w:cols w:space="720" w:num="1"/>
          <w:docGrid w:linePitch="312" w:charSpace="0"/>
        </w:sectPr>
      </w:pPr>
      <w:r>
        <w:rPr>
          <w:rFonts w:hint="eastAsia" w:ascii="仿宋_GB2312" w:hAnsi="仿宋_GB2312" w:eastAsia="仿宋_GB2312" w:cs="仿宋_GB2312"/>
          <w:b/>
          <w:bCs/>
          <w:color w:val="auto"/>
          <w:sz w:val="28"/>
          <w:szCs w:val="28"/>
          <w:lang w:val="en-US" w:eastAsia="zh-CN"/>
        </w:rPr>
        <w:drawing>
          <wp:anchor distT="0" distB="0" distL="114300" distR="114300" simplePos="0" relativeHeight="251660288" behindDoc="1" locked="0" layoutInCell="1" allowOverlap="1">
            <wp:simplePos x="0" y="0"/>
            <wp:positionH relativeFrom="column">
              <wp:posOffset>22225</wp:posOffset>
            </wp:positionH>
            <wp:positionV relativeFrom="paragraph">
              <wp:posOffset>4199255</wp:posOffset>
            </wp:positionV>
            <wp:extent cx="6069330" cy="3255010"/>
            <wp:effectExtent l="0" t="0" r="7620" b="2540"/>
            <wp:wrapNone/>
            <wp:docPr id="4" name="图片 5" descr="177bfa486d1e46dc332dd5573f0f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77bfa486d1e46dc332dd5573f0fb27"/>
                    <pic:cNvPicPr>
                      <a:picLocks noChangeAspect="1"/>
                    </pic:cNvPicPr>
                  </pic:nvPicPr>
                  <pic:blipFill>
                    <a:blip r:embed="rId28"/>
                    <a:srcRect l="9938" t="11850" b="19843"/>
                    <a:stretch>
                      <a:fillRect/>
                    </a:stretch>
                  </pic:blipFill>
                  <pic:spPr>
                    <a:xfrm>
                      <a:off x="0" y="0"/>
                      <a:ext cx="6069330" cy="3255010"/>
                    </a:xfrm>
                    <a:prstGeom prst="rect">
                      <a:avLst/>
                    </a:prstGeom>
                    <a:noFill/>
                    <a:ln>
                      <a:noFill/>
                    </a:ln>
                  </pic:spPr>
                </pic:pic>
              </a:graphicData>
            </a:graphic>
          </wp:anchor>
        </w:drawing>
      </w:r>
    </w:p>
    <w:p w14:paraId="557333EA">
      <w:pPr>
        <w:spacing w:line="400" w:lineRule="exact"/>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bCs/>
          <w:color w:val="auto"/>
          <w:sz w:val="28"/>
          <w:szCs w:val="28"/>
          <w:lang w:val="en-US" w:eastAsia="zh-CN"/>
        </w:rPr>
        <w:t>多袋裤、夹克</w:t>
      </w:r>
    </w:p>
    <w:p w14:paraId="3ED3CD00">
      <w:pPr>
        <w:pStyle w:val="3"/>
        <w:spacing w:before="0" w:after="0" w:line="360" w:lineRule="auto"/>
        <w:jc w:val="left"/>
        <w:rPr>
          <w:rFonts w:hint="eastAsia" w:ascii="仿宋_GB2312" w:hAnsi="仿宋_GB2312" w:eastAsia="仿宋_GB2312" w:cs="仿宋_GB2312"/>
          <w:b w:val="0"/>
          <w:color w:val="auto"/>
          <w:sz w:val="36"/>
          <w:szCs w:val="30"/>
        </w:rPr>
      </w:pPr>
      <w:r>
        <w:rPr>
          <w:rFonts w:hint="eastAsia" w:ascii="仿宋_GB2312" w:hAnsi="仿宋_GB2312" w:eastAsia="仿宋_GB2312" w:cs="仿宋_GB2312"/>
          <w:b/>
          <w:color w:val="auto"/>
          <w:sz w:val="36"/>
          <w:szCs w:val="30"/>
        </w:rPr>
        <w:drawing>
          <wp:anchor distT="0" distB="0" distL="114300" distR="114300" simplePos="0" relativeHeight="251664384" behindDoc="1" locked="0" layoutInCell="1" allowOverlap="1">
            <wp:simplePos x="0" y="0"/>
            <wp:positionH relativeFrom="column">
              <wp:posOffset>1179195</wp:posOffset>
            </wp:positionH>
            <wp:positionV relativeFrom="paragraph">
              <wp:posOffset>125095</wp:posOffset>
            </wp:positionV>
            <wp:extent cx="3161665" cy="4472305"/>
            <wp:effectExtent l="0" t="0" r="0" b="0"/>
            <wp:wrapNone/>
            <wp:docPr id="5" name="图片 13" descr="999323d3d17fffb262a28621c443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999323d3d17fffb262a28621c44393e"/>
                    <pic:cNvPicPr>
                      <a:picLocks noChangeAspect="1"/>
                    </pic:cNvPicPr>
                  </pic:nvPicPr>
                  <pic:blipFill>
                    <a:blip r:embed="rId29"/>
                    <a:stretch>
                      <a:fillRect/>
                    </a:stretch>
                  </pic:blipFill>
                  <pic:spPr>
                    <a:xfrm>
                      <a:off x="0" y="0"/>
                      <a:ext cx="3161665" cy="4472305"/>
                    </a:xfrm>
                    <a:prstGeom prst="rect">
                      <a:avLst/>
                    </a:prstGeom>
                    <a:noFill/>
                    <a:ln>
                      <a:noFill/>
                    </a:ln>
                  </pic:spPr>
                </pic:pic>
              </a:graphicData>
            </a:graphic>
          </wp:anchor>
        </w:drawing>
      </w:r>
    </w:p>
    <w:p w14:paraId="13253495">
      <w:pPr>
        <w:pStyle w:val="3"/>
        <w:spacing w:before="0" w:after="0" w:line="360" w:lineRule="auto"/>
        <w:jc w:val="left"/>
        <w:rPr>
          <w:rFonts w:hint="eastAsia" w:ascii="仿宋_GB2312" w:hAnsi="仿宋_GB2312" w:eastAsia="仿宋_GB2312" w:cs="仿宋_GB2312"/>
          <w:b w:val="0"/>
          <w:color w:val="auto"/>
          <w:sz w:val="36"/>
          <w:szCs w:val="30"/>
        </w:rPr>
      </w:pPr>
    </w:p>
    <w:p w14:paraId="3BAF3AC2">
      <w:pPr>
        <w:pStyle w:val="3"/>
        <w:spacing w:before="0" w:after="0" w:line="360" w:lineRule="auto"/>
        <w:jc w:val="left"/>
        <w:rPr>
          <w:rFonts w:hint="eastAsia" w:ascii="仿宋_GB2312" w:hAnsi="仿宋_GB2312" w:eastAsia="仿宋_GB2312" w:cs="仿宋_GB2312"/>
          <w:b w:val="0"/>
          <w:color w:val="auto"/>
          <w:sz w:val="36"/>
          <w:szCs w:val="30"/>
          <w:lang w:eastAsia="zh-CN"/>
        </w:rPr>
      </w:pPr>
    </w:p>
    <w:p w14:paraId="557DE35F">
      <w:pPr>
        <w:pStyle w:val="3"/>
        <w:spacing w:before="0" w:after="0" w:line="360" w:lineRule="auto"/>
        <w:jc w:val="left"/>
        <w:rPr>
          <w:rFonts w:hint="eastAsia" w:ascii="仿宋_GB2312" w:hAnsi="仿宋_GB2312" w:eastAsia="仿宋_GB2312" w:cs="仿宋_GB2312"/>
          <w:b w:val="0"/>
          <w:color w:val="auto"/>
          <w:sz w:val="36"/>
          <w:szCs w:val="30"/>
          <w:lang w:eastAsia="zh-CN"/>
        </w:rPr>
      </w:pPr>
    </w:p>
    <w:p w14:paraId="20E9E83A">
      <w:pPr>
        <w:bidi w:val="0"/>
        <w:rPr>
          <w:rFonts w:hint="eastAsia" w:ascii="仿宋_GB2312" w:hAnsi="仿宋_GB2312" w:eastAsia="仿宋_GB2312" w:cs="仿宋_GB2312"/>
          <w:color w:val="auto"/>
          <w:lang w:eastAsia="zh-CN"/>
        </w:rPr>
      </w:pPr>
    </w:p>
    <w:p w14:paraId="5E1B07BE">
      <w:pPr>
        <w:bidi w:val="0"/>
        <w:rPr>
          <w:rFonts w:hint="eastAsia" w:ascii="仿宋_GB2312" w:hAnsi="仿宋_GB2312" w:eastAsia="仿宋_GB2312" w:cs="仿宋_GB2312"/>
          <w:color w:val="auto"/>
          <w:lang w:eastAsia="zh-CN"/>
        </w:rPr>
      </w:pPr>
    </w:p>
    <w:p w14:paraId="0B5A6E49">
      <w:pPr>
        <w:bidi w:val="0"/>
        <w:rPr>
          <w:rFonts w:hint="eastAsia" w:ascii="仿宋_GB2312" w:hAnsi="仿宋_GB2312" w:eastAsia="仿宋_GB2312" w:cs="仿宋_GB2312"/>
          <w:color w:val="auto"/>
          <w:lang w:eastAsia="zh-CN"/>
        </w:rPr>
      </w:pPr>
    </w:p>
    <w:p w14:paraId="2950ACF3">
      <w:pPr>
        <w:bidi w:val="0"/>
        <w:rPr>
          <w:rFonts w:hint="eastAsia" w:ascii="仿宋_GB2312" w:hAnsi="仿宋_GB2312" w:eastAsia="仿宋_GB2312" w:cs="仿宋_GB2312"/>
          <w:color w:val="auto"/>
          <w:lang w:eastAsia="zh-CN"/>
        </w:rPr>
      </w:pPr>
    </w:p>
    <w:p w14:paraId="6EF500B2">
      <w:pPr>
        <w:bidi w:val="0"/>
        <w:rPr>
          <w:rFonts w:hint="eastAsia" w:ascii="仿宋_GB2312" w:hAnsi="仿宋_GB2312" w:eastAsia="仿宋_GB2312" w:cs="仿宋_GB2312"/>
          <w:color w:val="auto"/>
          <w:lang w:eastAsia="zh-CN"/>
        </w:rPr>
      </w:pPr>
    </w:p>
    <w:p w14:paraId="421693A0">
      <w:pPr>
        <w:bidi w:val="0"/>
        <w:rPr>
          <w:rFonts w:hint="eastAsia" w:ascii="仿宋_GB2312" w:hAnsi="仿宋_GB2312" w:eastAsia="仿宋_GB2312" w:cs="仿宋_GB2312"/>
          <w:color w:val="auto"/>
          <w:lang w:eastAsia="zh-CN"/>
        </w:rPr>
      </w:pPr>
    </w:p>
    <w:p w14:paraId="67DF7517">
      <w:pPr>
        <w:bidi w:val="0"/>
        <w:rPr>
          <w:rFonts w:hint="eastAsia" w:ascii="仿宋_GB2312" w:hAnsi="仿宋_GB2312" w:eastAsia="仿宋_GB2312" w:cs="仿宋_GB2312"/>
          <w:color w:val="auto"/>
          <w:lang w:eastAsia="zh-CN"/>
        </w:rPr>
      </w:pPr>
    </w:p>
    <w:p w14:paraId="1FD8FB8E">
      <w:pPr>
        <w:bidi w:val="0"/>
        <w:rPr>
          <w:rFonts w:hint="eastAsia" w:ascii="仿宋_GB2312" w:hAnsi="仿宋_GB2312" w:eastAsia="仿宋_GB2312" w:cs="仿宋_GB2312"/>
          <w:color w:val="auto"/>
          <w:lang w:eastAsia="zh-CN"/>
        </w:rPr>
      </w:pPr>
    </w:p>
    <w:p w14:paraId="579F88F8">
      <w:pPr>
        <w:bidi w:val="0"/>
        <w:rPr>
          <w:rFonts w:hint="eastAsia" w:ascii="仿宋_GB2312" w:hAnsi="仿宋_GB2312" w:eastAsia="仿宋_GB2312" w:cs="仿宋_GB2312"/>
          <w:color w:val="auto"/>
          <w:lang w:eastAsia="zh-CN"/>
        </w:rPr>
      </w:pPr>
    </w:p>
    <w:p w14:paraId="0E95F073">
      <w:pPr>
        <w:bidi w:val="0"/>
        <w:rPr>
          <w:rFonts w:hint="eastAsia" w:ascii="仿宋_GB2312" w:hAnsi="仿宋_GB2312" w:eastAsia="仿宋_GB2312" w:cs="仿宋_GB2312"/>
          <w:color w:val="auto"/>
          <w:lang w:eastAsia="zh-CN"/>
        </w:rPr>
      </w:pPr>
    </w:p>
    <w:p w14:paraId="51C585D5">
      <w:pPr>
        <w:bidi w:val="0"/>
        <w:rPr>
          <w:rFonts w:hint="eastAsia" w:ascii="仿宋_GB2312" w:hAnsi="仿宋_GB2312" w:eastAsia="仿宋_GB2312" w:cs="仿宋_GB2312"/>
          <w:color w:val="auto"/>
          <w:lang w:eastAsia="zh-CN"/>
        </w:rPr>
      </w:pPr>
    </w:p>
    <w:p w14:paraId="2491764A">
      <w:pPr>
        <w:bidi w:val="0"/>
        <w:rPr>
          <w:rFonts w:hint="eastAsia" w:ascii="仿宋_GB2312" w:hAnsi="仿宋_GB2312" w:eastAsia="仿宋_GB2312" w:cs="仿宋_GB2312"/>
          <w:color w:val="auto"/>
          <w:lang w:eastAsia="zh-CN"/>
        </w:rPr>
      </w:pPr>
    </w:p>
    <w:p w14:paraId="21E3EF89">
      <w:pPr>
        <w:bidi w:val="0"/>
        <w:rPr>
          <w:rFonts w:hint="eastAsia" w:ascii="仿宋_GB2312" w:hAnsi="仿宋_GB2312" w:eastAsia="仿宋_GB2312" w:cs="仿宋_GB2312"/>
          <w:color w:val="auto"/>
          <w:lang w:eastAsia="zh-CN"/>
        </w:rPr>
      </w:pPr>
    </w:p>
    <w:p w14:paraId="038C1C27">
      <w:pPr>
        <w:bidi w:val="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drawing>
          <wp:anchor distT="0" distB="0" distL="114300" distR="114300" simplePos="0" relativeHeight="251666432" behindDoc="0" locked="0" layoutInCell="1" allowOverlap="1">
            <wp:simplePos x="0" y="0"/>
            <wp:positionH relativeFrom="column">
              <wp:posOffset>154305</wp:posOffset>
            </wp:positionH>
            <wp:positionV relativeFrom="paragraph">
              <wp:posOffset>147320</wp:posOffset>
            </wp:positionV>
            <wp:extent cx="5344795" cy="3778885"/>
            <wp:effectExtent l="0" t="0" r="8255" b="12065"/>
            <wp:wrapSquare wrapText="bothSides"/>
            <wp:docPr id="6" name="图片 7" descr="171591477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715914777320"/>
                    <pic:cNvPicPr>
                      <a:picLocks noChangeAspect="1"/>
                    </pic:cNvPicPr>
                  </pic:nvPicPr>
                  <pic:blipFill>
                    <a:blip r:embed="rId30"/>
                    <a:stretch>
                      <a:fillRect/>
                    </a:stretch>
                  </pic:blipFill>
                  <pic:spPr>
                    <a:xfrm>
                      <a:off x="0" y="0"/>
                      <a:ext cx="5344795" cy="3778885"/>
                    </a:xfrm>
                    <a:prstGeom prst="rect">
                      <a:avLst/>
                    </a:prstGeom>
                    <a:noFill/>
                    <a:ln>
                      <a:noFill/>
                    </a:ln>
                  </pic:spPr>
                </pic:pic>
              </a:graphicData>
            </a:graphic>
          </wp:anchor>
        </w:drawing>
      </w:r>
    </w:p>
    <w:p w14:paraId="5042E5F0">
      <w:pPr>
        <w:bidi w:val="0"/>
        <w:rPr>
          <w:rFonts w:hint="eastAsia" w:ascii="仿宋_GB2312" w:hAnsi="仿宋_GB2312" w:eastAsia="仿宋_GB2312" w:cs="仿宋_GB2312"/>
          <w:color w:val="auto"/>
          <w:lang w:eastAsia="zh-CN"/>
        </w:rPr>
      </w:pPr>
    </w:p>
    <w:p w14:paraId="113D196D">
      <w:pPr>
        <w:bidi w:val="0"/>
        <w:rPr>
          <w:rFonts w:hint="eastAsia" w:ascii="仿宋_GB2312" w:hAnsi="仿宋_GB2312" w:eastAsia="仿宋_GB2312" w:cs="仿宋_GB2312"/>
          <w:color w:val="auto"/>
          <w:lang w:eastAsia="zh-CN"/>
        </w:rPr>
      </w:pPr>
    </w:p>
    <w:p w14:paraId="5BBE0470">
      <w:pPr>
        <w:bidi w:val="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br w:type="page"/>
      </w:r>
    </w:p>
    <w:p w14:paraId="745E7844">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drawing>
          <wp:anchor distT="0" distB="0" distL="114300" distR="114300" simplePos="0" relativeHeight="251662336" behindDoc="1" locked="0" layoutInCell="1" allowOverlap="1">
            <wp:simplePos x="0" y="0"/>
            <wp:positionH relativeFrom="column">
              <wp:posOffset>-177800</wp:posOffset>
            </wp:positionH>
            <wp:positionV relativeFrom="paragraph">
              <wp:posOffset>168275</wp:posOffset>
            </wp:positionV>
            <wp:extent cx="5960745" cy="4213860"/>
            <wp:effectExtent l="0" t="0" r="1905" b="15240"/>
            <wp:wrapNone/>
            <wp:docPr id="7" name="图片 8" descr="ff0ea79469c066f927bc13037c5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ff0ea79469c066f927bc13037c5168b"/>
                    <pic:cNvPicPr>
                      <a:picLocks noChangeAspect="1"/>
                    </pic:cNvPicPr>
                  </pic:nvPicPr>
                  <pic:blipFill>
                    <a:blip r:embed="rId31"/>
                    <a:stretch>
                      <a:fillRect/>
                    </a:stretch>
                  </pic:blipFill>
                  <pic:spPr>
                    <a:xfrm>
                      <a:off x="0" y="0"/>
                      <a:ext cx="5960745" cy="4213860"/>
                    </a:xfrm>
                    <a:prstGeom prst="rect">
                      <a:avLst/>
                    </a:prstGeom>
                    <a:noFill/>
                    <a:ln>
                      <a:noFill/>
                    </a:ln>
                  </pic:spPr>
                </pic:pic>
              </a:graphicData>
            </a:graphic>
          </wp:anchor>
        </w:drawing>
      </w:r>
    </w:p>
    <w:p w14:paraId="6660C744">
      <w:pPr>
        <w:pStyle w:val="3"/>
        <w:spacing w:before="0" w:after="0" w:line="360" w:lineRule="auto"/>
        <w:jc w:val="left"/>
        <w:rPr>
          <w:rFonts w:hint="eastAsia" w:ascii="仿宋_GB2312" w:hAnsi="仿宋_GB2312" w:eastAsia="仿宋_GB2312" w:cs="仿宋_GB2312"/>
          <w:b w:val="0"/>
          <w:color w:val="auto"/>
          <w:sz w:val="36"/>
          <w:szCs w:val="30"/>
        </w:rPr>
      </w:pPr>
    </w:p>
    <w:p w14:paraId="63F27BC4">
      <w:pPr>
        <w:pStyle w:val="3"/>
        <w:spacing w:before="0" w:after="0" w:line="360" w:lineRule="auto"/>
        <w:jc w:val="left"/>
        <w:rPr>
          <w:rFonts w:hint="eastAsia" w:ascii="仿宋_GB2312" w:hAnsi="仿宋_GB2312" w:eastAsia="仿宋_GB2312" w:cs="仿宋_GB2312"/>
          <w:b w:val="0"/>
          <w:color w:val="auto"/>
          <w:sz w:val="36"/>
          <w:szCs w:val="30"/>
        </w:rPr>
      </w:pPr>
    </w:p>
    <w:p w14:paraId="45509F7C">
      <w:pPr>
        <w:pStyle w:val="3"/>
        <w:spacing w:before="0" w:after="0" w:line="360" w:lineRule="auto"/>
        <w:jc w:val="left"/>
        <w:rPr>
          <w:rFonts w:hint="eastAsia" w:ascii="仿宋_GB2312" w:hAnsi="仿宋_GB2312" w:eastAsia="仿宋_GB2312" w:cs="仿宋_GB2312"/>
          <w:b w:val="0"/>
          <w:color w:val="auto"/>
          <w:sz w:val="36"/>
          <w:szCs w:val="30"/>
        </w:rPr>
      </w:pPr>
    </w:p>
    <w:p w14:paraId="441D96D5">
      <w:pPr>
        <w:pStyle w:val="3"/>
        <w:spacing w:before="0" w:after="0" w:line="360" w:lineRule="auto"/>
        <w:jc w:val="left"/>
        <w:rPr>
          <w:rFonts w:hint="eastAsia" w:ascii="仿宋_GB2312" w:hAnsi="仿宋_GB2312" w:eastAsia="仿宋_GB2312" w:cs="仿宋_GB2312"/>
          <w:b w:val="0"/>
          <w:color w:val="auto"/>
          <w:sz w:val="36"/>
          <w:szCs w:val="30"/>
        </w:rPr>
      </w:pPr>
    </w:p>
    <w:p w14:paraId="17776F5B">
      <w:pPr>
        <w:pStyle w:val="3"/>
        <w:spacing w:before="0" w:after="0" w:line="360" w:lineRule="auto"/>
        <w:jc w:val="left"/>
        <w:rPr>
          <w:rFonts w:hint="eastAsia" w:ascii="仿宋_GB2312" w:hAnsi="仿宋_GB2312" w:eastAsia="仿宋_GB2312" w:cs="仿宋_GB2312"/>
          <w:b w:val="0"/>
          <w:color w:val="auto"/>
          <w:sz w:val="36"/>
          <w:szCs w:val="30"/>
        </w:rPr>
      </w:pPr>
    </w:p>
    <w:p w14:paraId="63F608D7">
      <w:pPr>
        <w:pStyle w:val="3"/>
        <w:spacing w:before="0" w:after="0" w:line="360" w:lineRule="auto"/>
        <w:jc w:val="left"/>
        <w:rPr>
          <w:rFonts w:hint="eastAsia" w:ascii="仿宋_GB2312" w:hAnsi="仿宋_GB2312" w:eastAsia="仿宋_GB2312" w:cs="仿宋_GB2312"/>
          <w:b w:val="0"/>
          <w:color w:val="auto"/>
          <w:sz w:val="36"/>
          <w:szCs w:val="30"/>
        </w:rPr>
      </w:pPr>
    </w:p>
    <w:p w14:paraId="49C096C9">
      <w:pPr>
        <w:pStyle w:val="3"/>
        <w:spacing w:before="0" w:after="0" w:line="360" w:lineRule="auto"/>
        <w:jc w:val="left"/>
        <w:rPr>
          <w:rFonts w:hint="eastAsia" w:ascii="仿宋_GB2312" w:hAnsi="仿宋_GB2312" w:eastAsia="仿宋_GB2312" w:cs="仿宋_GB2312"/>
          <w:b w:val="0"/>
          <w:color w:val="auto"/>
          <w:sz w:val="36"/>
          <w:szCs w:val="30"/>
        </w:rPr>
      </w:pPr>
    </w:p>
    <w:p w14:paraId="329ABA4C">
      <w:pPr>
        <w:rPr>
          <w:rFonts w:hint="eastAsia" w:ascii="仿宋_GB2312" w:hAnsi="仿宋_GB2312" w:eastAsia="仿宋_GB2312" w:cs="仿宋_GB2312"/>
          <w:b w:val="0"/>
          <w:color w:val="auto"/>
          <w:sz w:val="36"/>
          <w:szCs w:val="30"/>
        </w:rPr>
      </w:pPr>
    </w:p>
    <w:p w14:paraId="514A1867">
      <w:pPr>
        <w:rPr>
          <w:rFonts w:hint="eastAsia" w:ascii="仿宋_GB2312" w:hAnsi="仿宋_GB2312" w:eastAsia="仿宋_GB2312" w:cs="仿宋_GB2312"/>
          <w:b w:val="0"/>
          <w:color w:val="auto"/>
          <w:sz w:val="36"/>
          <w:szCs w:val="30"/>
        </w:rPr>
      </w:pPr>
    </w:p>
    <w:p w14:paraId="121434C9">
      <w:pPr>
        <w:pStyle w:val="3"/>
        <w:spacing w:before="0" w:after="0" w:line="360" w:lineRule="auto"/>
        <w:jc w:val="left"/>
        <w:rPr>
          <w:rFonts w:hint="eastAsia" w:ascii="仿宋_GB2312" w:hAnsi="仿宋_GB2312" w:eastAsia="仿宋_GB2312" w:cs="仿宋_GB2312"/>
          <w:b/>
          <w:i w:val="0"/>
          <w:iCs w:val="0"/>
          <w:color w:val="auto"/>
          <w:kern w:val="0"/>
          <w:sz w:val="24"/>
          <w:szCs w:val="24"/>
          <w:u w:val="none"/>
          <w:lang w:val="en-US" w:eastAsia="zh-CN" w:bidi="ar"/>
        </w:rPr>
      </w:pPr>
    </w:p>
    <w:p w14:paraId="3D5125CB">
      <w:pPr>
        <w:bidi w:val="0"/>
        <w:rPr>
          <w:rFonts w:hint="eastAsia" w:ascii="仿宋_GB2312" w:hAnsi="仿宋_GB2312" w:eastAsia="仿宋_GB2312" w:cs="仿宋_GB2312"/>
          <w:color w:val="auto"/>
          <w:lang w:val="en-US" w:eastAsia="zh-CN"/>
        </w:rPr>
      </w:pPr>
    </w:p>
    <w:p w14:paraId="77270C42">
      <w:pPr>
        <w:bidi w:val="0"/>
        <w:jc w:val="center"/>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劳保工作服（摇粒绒内胆冲锋衣）</w:t>
      </w:r>
    </w:p>
    <w:p w14:paraId="22AAEA9D">
      <w:pPr>
        <w:bidi w:val="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lang w:eastAsia="zh-CN"/>
        </w:rPr>
        <w:drawing>
          <wp:inline distT="0" distB="0" distL="114300" distR="114300">
            <wp:extent cx="3055620" cy="4320540"/>
            <wp:effectExtent l="0" t="0" r="11430" b="3810"/>
            <wp:docPr id="8" name="图片 1" descr="171591491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715914912244"/>
                    <pic:cNvPicPr>
                      <a:picLocks noChangeAspect="1"/>
                    </pic:cNvPicPr>
                  </pic:nvPicPr>
                  <pic:blipFill>
                    <a:blip r:embed="rId32"/>
                    <a:stretch>
                      <a:fillRect/>
                    </a:stretch>
                  </pic:blipFill>
                  <pic:spPr>
                    <a:xfrm>
                      <a:off x="0" y="0"/>
                      <a:ext cx="3055620" cy="4320540"/>
                    </a:xfrm>
                    <a:prstGeom prst="rect">
                      <a:avLst/>
                    </a:prstGeom>
                    <a:noFill/>
                    <a:ln>
                      <a:noFill/>
                    </a:ln>
                  </pic:spPr>
                </pic:pic>
              </a:graphicData>
            </a:graphic>
          </wp:inline>
        </w:drawing>
      </w:r>
    </w:p>
    <w:p w14:paraId="6646F2B6">
      <w:pP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br w:type="page"/>
      </w:r>
    </w:p>
    <w:p w14:paraId="3DE65914">
      <w:pPr>
        <w:bidi w:val="0"/>
        <w:jc w:val="center"/>
        <w:rPr>
          <w:rFonts w:hint="eastAsia" w:ascii="仿宋_GB2312" w:hAnsi="仿宋_GB2312" w:eastAsia="仿宋_GB2312" w:cs="仿宋_GB2312"/>
          <w:b w:val="0"/>
          <w:color w:val="auto"/>
          <w:sz w:val="36"/>
          <w:szCs w:val="30"/>
        </w:rPr>
        <w:sectPr>
          <w:headerReference r:id="rId17" w:type="default"/>
          <w:footerReference r:id="rId18" w:type="default"/>
          <w:pgSz w:w="11907" w:h="16840"/>
          <w:pgMar w:top="1134" w:right="1191" w:bottom="1134" w:left="1304" w:header="851" w:footer="992" w:gutter="0"/>
          <w:cols w:space="720" w:num="1"/>
          <w:docGrid w:linePitch="380" w:charSpace="-5735"/>
        </w:sectPr>
      </w:pPr>
      <w:r>
        <w:rPr>
          <w:rFonts w:hint="eastAsia" w:ascii="仿宋_GB2312" w:hAnsi="仿宋_GB2312" w:eastAsia="仿宋_GB2312" w:cs="仿宋_GB2312"/>
          <w:b w:val="0"/>
          <w:color w:val="auto"/>
          <w:sz w:val="36"/>
          <w:szCs w:val="30"/>
        </w:rPr>
        <w:drawing>
          <wp:anchor distT="0" distB="0" distL="114300" distR="114300" simplePos="0" relativeHeight="251665408" behindDoc="1" locked="0" layoutInCell="1" allowOverlap="1">
            <wp:simplePos x="0" y="0"/>
            <wp:positionH relativeFrom="column">
              <wp:posOffset>-139700</wp:posOffset>
            </wp:positionH>
            <wp:positionV relativeFrom="paragraph">
              <wp:posOffset>336550</wp:posOffset>
            </wp:positionV>
            <wp:extent cx="5960745" cy="3827780"/>
            <wp:effectExtent l="0" t="0" r="1905" b="1270"/>
            <wp:wrapNone/>
            <wp:docPr id="10" name="图片 10" descr="83e90361425de333f8d20736a422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3e90361425de333f8d20736a42286f"/>
                    <pic:cNvPicPr>
                      <a:picLocks noChangeAspect="1"/>
                    </pic:cNvPicPr>
                  </pic:nvPicPr>
                  <pic:blipFill>
                    <a:blip r:embed="rId33"/>
                    <a:srcRect t="9163"/>
                    <a:stretch>
                      <a:fillRect/>
                    </a:stretch>
                  </pic:blipFill>
                  <pic:spPr>
                    <a:xfrm>
                      <a:off x="0" y="0"/>
                      <a:ext cx="5960745" cy="3827780"/>
                    </a:xfrm>
                    <a:prstGeom prst="rect">
                      <a:avLst/>
                    </a:prstGeom>
                    <a:noFill/>
                    <a:ln>
                      <a:noFill/>
                    </a:ln>
                  </pic:spPr>
                </pic:pic>
              </a:graphicData>
            </a:graphic>
          </wp:anchor>
        </w:drawing>
      </w:r>
    </w:p>
    <w:p w14:paraId="6686FD61">
      <w:pPr>
        <w:bidi w:val="0"/>
        <w:rPr>
          <w:rFonts w:hint="eastAsia" w:ascii="仿宋_GB2312" w:hAnsi="仿宋_GB2312" w:eastAsia="仿宋_GB2312" w:cs="仿宋_GB2312"/>
          <w:color w:val="auto"/>
          <w:sz w:val="28"/>
          <w:szCs w:val="28"/>
          <w:lang w:val="en-US" w:eastAsia="zh-CN"/>
        </w:rPr>
      </w:pPr>
    </w:p>
    <w:p w14:paraId="56F811A0">
      <w:pPr>
        <w:pStyle w:val="3"/>
        <w:spacing w:before="0" w:after="0" w:line="360" w:lineRule="auto"/>
        <w:jc w:val="center"/>
        <w:rPr>
          <w:rFonts w:hint="eastAsia" w:ascii="方正小标宋_GBK" w:hAnsi="宋体" w:eastAsia="方正小标宋_GBK"/>
          <w:b w:val="0"/>
          <w:color w:val="auto"/>
          <w:sz w:val="36"/>
          <w:szCs w:val="30"/>
        </w:rPr>
      </w:pPr>
      <w:r>
        <w:rPr>
          <w:rFonts w:hint="eastAsia" w:ascii="方正小标宋_GBK" w:hAnsi="宋体" w:eastAsia="方正小标宋_GBK"/>
          <w:b w:val="0"/>
          <w:color w:val="auto"/>
          <w:sz w:val="36"/>
          <w:szCs w:val="30"/>
        </w:rPr>
        <w:t xml:space="preserve">第三篇  </w:t>
      </w:r>
      <w:bookmarkEnd w:id="28"/>
      <w:r>
        <w:rPr>
          <w:rFonts w:hint="eastAsia" w:ascii="方正小标宋_GBK" w:hAnsi="宋体" w:eastAsia="方正小标宋_GBK"/>
          <w:b w:val="0"/>
          <w:color w:val="auto"/>
          <w:sz w:val="36"/>
          <w:szCs w:val="30"/>
        </w:rPr>
        <w:t>项目商务需求</w:t>
      </w:r>
      <w:bookmarkEnd w:id="29"/>
      <w:bookmarkEnd w:id="30"/>
    </w:p>
    <w:p w14:paraId="07753131">
      <w:pPr>
        <w:pStyle w:val="3"/>
        <w:adjustRightInd w:val="0"/>
        <w:snapToGrid w:val="0"/>
        <w:spacing w:before="0" w:after="0" w:line="400" w:lineRule="exact"/>
        <w:ind w:firstLine="480" w:firstLineChars="200"/>
        <w:rPr>
          <w:rFonts w:ascii="方正仿宋_GBK" w:hAnsi="宋体" w:eastAsia="方正仿宋_GBK"/>
          <w:color w:val="auto"/>
          <w:sz w:val="24"/>
        </w:rPr>
      </w:pPr>
      <w:bookmarkStart w:id="31" w:name="_Toc106030883"/>
      <w:bookmarkStart w:id="32" w:name="_Toc76462328"/>
      <w:bookmarkStart w:id="33" w:name="_Toc344475120"/>
      <w:r>
        <w:rPr>
          <w:rFonts w:hint="eastAsia" w:ascii="方正仿宋_GBK" w:hAnsi="宋体" w:eastAsia="方正仿宋_GBK"/>
          <w:color w:val="auto"/>
          <w:sz w:val="24"/>
        </w:rPr>
        <w:t>一、</w:t>
      </w:r>
      <w:r>
        <w:rPr>
          <w:rFonts w:hint="eastAsia" w:ascii="方正仿宋_GBK" w:hAnsi="宋体" w:eastAsia="方正仿宋_GBK"/>
          <w:color w:val="auto"/>
          <w:sz w:val="24"/>
          <w:lang w:eastAsia="zh-CN"/>
        </w:rPr>
        <w:t>交货</w:t>
      </w:r>
      <w:r>
        <w:rPr>
          <w:rFonts w:hint="eastAsia" w:ascii="方正仿宋_GBK" w:hAnsi="宋体" w:eastAsia="方正仿宋_GBK"/>
          <w:color w:val="auto"/>
          <w:sz w:val="24"/>
        </w:rPr>
        <w:t>期、地点及验收方式</w:t>
      </w:r>
      <w:bookmarkEnd w:id="31"/>
      <w:bookmarkEnd w:id="32"/>
      <w:bookmarkEnd w:id="33"/>
    </w:p>
    <w:p w14:paraId="74BA42C7">
      <w:pPr>
        <w:pStyle w:val="33"/>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交货</w:t>
      </w:r>
      <w:r>
        <w:rPr>
          <w:rFonts w:hint="eastAsia" w:ascii="方正仿宋_GBK" w:hAnsi="宋体" w:eastAsia="方正仿宋_GBK"/>
          <w:color w:val="auto"/>
          <w:sz w:val="24"/>
          <w:szCs w:val="24"/>
        </w:rPr>
        <w:t>期：合同签订后</w:t>
      </w:r>
      <w:r>
        <w:rPr>
          <w:rFonts w:hint="eastAsia" w:ascii="方正仿宋_GBK" w:hAnsi="宋体" w:eastAsia="方正仿宋_GBK"/>
          <w:color w:val="auto"/>
          <w:sz w:val="24"/>
          <w:szCs w:val="24"/>
          <w:lang w:val="en-US" w:eastAsia="zh-CN"/>
        </w:rPr>
        <w:t>45</w:t>
      </w:r>
      <w:r>
        <w:rPr>
          <w:rFonts w:hint="eastAsia" w:ascii="方正仿宋_GBK" w:hAnsi="宋体" w:eastAsia="方正仿宋_GBK"/>
          <w:color w:val="auto"/>
          <w:sz w:val="24"/>
          <w:szCs w:val="24"/>
        </w:rPr>
        <w:t>个日历日内交货。</w:t>
      </w:r>
    </w:p>
    <w:p w14:paraId="15C4E768">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w:t>
      </w:r>
      <w:r>
        <w:rPr>
          <w:rFonts w:hint="eastAsia" w:ascii="方正仿宋_GBK" w:hAnsi="宋体" w:eastAsia="方正仿宋_GBK"/>
          <w:color w:val="auto"/>
          <w:sz w:val="24"/>
          <w:szCs w:val="24"/>
          <w:lang w:eastAsia="zh-CN"/>
        </w:rPr>
        <w:t>交货</w:t>
      </w:r>
      <w:r>
        <w:rPr>
          <w:rFonts w:hint="eastAsia" w:ascii="方正仿宋_GBK" w:hAnsi="宋体" w:eastAsia="方正仿宋_GBK"/>
          <w:color w:val="auto"/>
          <w:sz w:val="24"/>
          <w:szCs w:val="24"/>
        </w:rPr>
        <w:t>地点：</w:t>
      </w:r>
      <w:r>
        <w:rPr>
          <w:rFonts w:hint="eastAsia" w:ascii="方正仿宋_GBK" w:hAnsi="宋体" w:eastAsia="方正仿宋_GBK"/>
          <w:color w:val="auto"/>
          <w:sz w:val="24"/>
          <w:szCs w:val="24"/>
          <w:lang w:eastAsia="zh-CN"/>
        </w:rPr>
        <w:t>乌江各航道所及</w:t>
      </w:r>
      <w:r>
        <w:rPr>
          <w:rFonts w:hint="eastAsia" w:ascii="方正仿宋_GBK" w:hAnsi="宋体" w:eastAsia="方正仿宋_GBK"/>
          <w:color w:val="auto"/>
          <w:sz w:val="24"/>
          <w:szCs w:val="24"/>
        </w:rPr>
        <w:t>航道基地</w:t>
      </w:r>
      <w:r>
        <w:rPr>
          <w:rFonts w:hint="eastAsia" w:ascii="方正仿宋_GBK" w:hAnsi="宋体" w:eastAsia="方正仿宋_GBK"/>
          <w:color w:val="auto"/>
          <w:sz w:val="24"/>
          <w:szCs w:val="24"/>
          <w:lang w:val="en-US" w:eastAsia="zh-CN"/>
        </w:rPr>
        <w:t>。</w:t>
      </w:r>
    </w:p>
    <w:p w14:paraId="205E7277">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（三）验收方式：</w:t>
      </w:r>
    </w:p>
    <w:p w14:paraId="2824B0DB">
      <w:pPr>
        <w:pStyle w:val="3"/>
        <w:adjustRightInd w:val="0"/>
        <w:snapToGrid w:val="0"/>
        <w:spacing w:before="0" w:after="0" w:line="400" w:lineRule="exact"/>
        <w:ind w:firstLine="480" w:firstLineChars="200"/>
        <w:rPr>
          <w:rFonts w:hint="eastAsia" w:ascii="方正仿宋_GBK" w:hAnsi="宋体" w:eastAsia="方正仿宋_GBK"/>
          <w:b w:val="0"/>
          <w:bCs/>
          <w:color w:val="auto"/>
          <w:sz w:val="24"/>
        </w:rPr>
      </w:pPr>
      <w:bookmarkStart w:id="34" w:name="_Toc344475121"/>
      <w:bookmarkStart w:id="35" w:name="_Toc76462329"/>
      <w:bookmarkStart w:id="36" w:name="_Toc106030884"/>
      <w:r>
        <w:rPr>
          <w:rFonts w:hint="eastAsia" w:ascii="方正仿宋_GBK" w:hAnsi="宋体" w:eastAsia="方正仿宋_GBK"/>
          <w:b w:val="0"/>
          <w:bCs/>
          <w:color w:val="auto"/>
          <w:sz w:val="24"/>
        </w:rPr>
        <w:t>1</w:t>
      </w:r>
      <w:r>
        <w:rPr>
          <w:rFonts w:hint="eastAsia" w:ascii="方正仿宋_GBK" w:hAnsi="宋体" w:eastAsia="方正仿宋_GBK"/>
          <w:b w:val="0"/>
          <w:bCs/>
          <w:color w:val="auto"/>
          <w:sz w:val="24"/>
          <w:lang w:eastAsia="zh-CN"/>
        </w:rPr>
        <w:t>、</w:t>
      </w:r>
      <w:r>
        <w:rPr>
          <w:rFonts w:hint="eastAsia" w:ascii="方正仿宋_GBK" w:hAnsi="宋体" w:eastAsia="方正仿宋_GBK"/>
          <w:b w:val="0"/>
          <w:bCs/>
          <w:color w:val="auto"/>
          <w:sz w:val="24"/>
        </w:rPr>
        <w:t>货物运至交货地点，供应商必须在使用单位人员在场情况下当面开箱，共同清点、检查货物质量，双方签字确认。</w:t>
      </w:r>
    </w:p>
    <w:p w14:paraId="49896C4B">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b w:val="0"/>
          <w:bCs/>
          <w:color w:val="auto"/>
          <w:sz w:val="24"/>
        </w:rPr>
        <w:t>2</w:t>
      </w:r>
      <w:r>
        <w:rPr>
          <w:rFonts w:hint="eastAsia" w:ascii="方正仿宋_GBK" w:hAnsi="宋体" w:eastAsia="方正仿宋_GBK"/>
          <w:b w:val="0"/>
          <w:bCs/>
          <w:color w:val="auto"/>
          <w:sz w:val="24"/>
          <w:lang w:eastAsia="zh-CN"/>
        </w:rPr>
        <w:t>、</w:t>
      </w:r>
      <w:r>
        <w:rPr>
          <w:rFonts w:hint="eastAsia" w:ascii="方正仿宋_GBK" w:hAnsi="宋体" w:eastAsia="方正仿宋_GBK"/>
          <w:b w:val="0"/>
          <w:bCs/>
          <w:color w:val="auto"/>
          <w:sz w:val="24"/>
        </w:rPr>
        <w:t>供应商应保证货物到达用户所在地完好无损，如有缺漏、损坏，由供应商负责调换、补齐或赔偿。</w:t>
      </w:r>
    </w:p>
    <w:p w14:paraId="43BD3832">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二、</w:t>
      </w:r>
      <w:bookmarkEnd w:id="34"/>
      <w:r>
        <w:rPr>
          <w:rFonts w:hint="eastAsia" w:ascii="方正仿宋_GBK" w:hAnsi="宋体" w:eastAsia="方正仿宋_GBK"/>
          <w:color w:val="auto"/>
          <w:sz w:val="24"/>
        </w:rPr>
        <w:t>报价要求</w:t>
      </w:r>
      <w:bookmarkEnd w:id="35"/>
      <w:bookmarkEnd w:id="36"/>
    </w:p>
    <w:p w14:paraId="0C99CB14">
      <w:pPr>
        <w:snapToGrid w:val="0"/>
        <w:spacing w:line="400" w:lineRule="exact"/>
        <w:ind w:firstLine="54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本次报价为人民币报价，供应商的投标报价应包含完成本项目所需的设备（货物）购买（制造）费、包装费、运输费、装卸费、安装费、保险费、人工费、培训费、售后服务费、税费等全部费用。因成交供应商自身原因造成漏报、少报皆由其自行承担责任，采购人不再补偿。</w:t>
      </w:r>
    </w:p>
    <w:p w14:paraId="6BF84DA4">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37" w:name="_Toc106030885"/>
      <w:bookmarkStart w:id="38" w:name="_Toc76462330"/>
      <w:bookmarkStart w:id="39" w:name="_Toc344475122"/>
      <w:r>
        <w:rPr>
          <w:rFonts w:hint="eastAsia" w:ascii="方正仿宋_GBK" w:hAnsi="宋体" w:eastAsia="方正仿宋_GBK"/>
          <w:color w:val="auto"/>
          <w:sz w:val="24"/>
        </w:rPr>
        <w:t>三、付款方式</w:t>
      </w:r>
      <w:bookmarkEnd w:id="37"/>
      <w:bookmarkEnd w:id="38"/>
      <w:bookmarkEnd w:id="39"/>
    </w:p>
    <w:p w14:paraId="6EB401AF">
      <w:pPr>
        <w:pStyle w:val="3"/>
        <w:adjustRightInd w:val="0"/>
        <w:snapToGrid w:val="0"/>
        <w:spacing w:before="0" w:after="0" w:line="400" w:lineRule="exact"/>
        <w:ind w:firstLine="480" w:firstLineChars="200"/>
        <w:rPr>
          <w:rFonts w:hint="eastAsia" w:ascii="方正仿宋_GBK" w:hAnsi="宋体" w:eastAsia="方正仿宋_GBK"/>
          <w:color w:val="auto"/>
          <w:sz w:val="24"/>
          <w:lang w:eastAsia="zh-CN"/>
        </w:rPr>
      </w:pPr>
      <w:bookmarkStart w:id="40" w:name="_Toc7228"/>
      <w:bookmarkStart w:id="41" w:name="_Toc65660346"/>
      <w:bookmarkStart w:id="42" w:name="_Toc24751"/>
      <w:bookmarkStart w:id="43" w:name="_Toc106034637"/>
      <w:r>
        <w:rPr>
          <w:rFonts w:hint="eastAsia" w:ascii="方正仿宋_GBK" w:hAnsi="宋体" w:eastAsia="方正仿宋_GBK"/>
          <w:b w:val="0"/>
          <w:bCs/>
          <w:color w:val="auto"/>
          <w:sz w:val="24"/>
          <w:lang w:eastAsia="zh-CN"/>
        </w:rPr>
        <w:t>验收合格后，供应商出具正式发票，甲方于10个工作日内一次付清所有费用。</w:t>
      </w:r>
    </w:p>
    <w:p w14:paraId="1DD0FC31">
      <w:pPr>
        <w:pStyle w:val="3"/>
        <w:numPr>
          <w:ilvl w:val="0"/>
          <w:numId w:val="13"/>
        </w:numPr>
        <w:adjustRightInd w:val="0"/>
        <w:snapToGrid w:val="0"/>
        <w:spacing w:before="0" w:after="0" w:line="400" w:lineRule="exact"/>
        <w:ind w:firstLine="480" w:firstLineChars="200"/>
        <w:rPr>
          <w:rFonts w:hint="eastAsia" w:ascii="方正仿宋_GBK" w:hAnsi="宋体" w:eastAsia="方正仿宋_GBK"/>
          <w:color w:val="auto"/>
          <w:sz w:val="24"/>
          <w:lang w:eastAsia="zh-CN"/>
        </w:rPr>
      </w:pPr>
      <w:r>
        <w:rPr>
          <w:rFonts w:hint="eastAsia" w:ascii="方正仿宋_GBK" w:hAnsi="宋体" w:eastAsia="方正仿宋_GBK"/>
          <w:color w:val="auto"/>
          <w:sz w:val="24"/>
          <w:lang w:eastAsia="zh-CN"/>
        </w:rPr>
        <w:t>售后服务</w:t>
      </w:r>
    </w:p>
    <w:p w14:paraId="571554C2">
      <w:pPr>
        <w:snapToGrid w:val="0"/>
        <w:spacing w:line="400" w:lineRule="exact"/>
        <w:ind w:firstLine="540"/>
        <w:rPr>
          <w:rFonts w:hint="eastAsia"/>
          <w:color w:val="auto"/>
          <w:lang w:eastAsia="zh-CN"/>
        </w:rPr>
      </w:pPr>
      <w:r>
        <w:rPr>
          <w:rFonts w:hint="eastAsia" w:ascii="方正仿宋_GBK" w:hAnsi="宋体" w:eastAsia="方正仿宋_GBK" w:cs="Times New Roman"/>
          <w:color w:val="auto"/>
          <w:sz w:val="24"/>
          <w:szCs w:val="24"/>
          <w:lang w:eastAsia="zh-CN"/>
        </w:rPr>
        <w:t>供应商应明确承诺：劳保服质保期为壹年，自交付并验收合格后壹年内，如因产品出现质量问题，24小时内上门提供免费维修或免费换新。</w:t>
      </w:r>
    </w:p>
    <w:p w14:paraId="1A3D0144">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lang w:eastAsia="zh-CN"/>
        </w:rPr>
        <w:t>五</w:t>
      </w:r>
      <w:r>
        <w:rPr>
          <w:rFonts w:hint="eastAsia" w:ascii="方正仿宋_GBK" w:hAnsi="宋体" w:eastAsia="方正仿宋_GBK"/>
          <w:color w:val="auto"/>
          <w:sz w:val="24"/>
        </w:rPr>
        <w:t>、知识产权</w:t>
      </w:r>
      <w:bookmarkEnd w:id="40"/>
      <w:bookmarkEnd w:id="41"/>
      <w:bookmarkEnd w:id="42"/>
      <w:bookmarkEnd w:id="43"/>
    </w:p>
    <w:p w14:paraId="33E1D467">
      <w:pPr>
        <w:snapToGrid w:val="0"/>
        <w:spacing w:line="400" w:lineRule="exact"/>
        <w:ind w:firstLine="540"/>
        <w:rPr>
          <w:rFonts w:hint="eastAsia" w:ascii="方正仿宋_GBK" w:hAnsi="宋体" w:eastAsia="方正仿宋_GBK"/>
          <w:color w:val="auto"/>
          <w:sz w:val="24"/>
        </w:rPr>
      </w:pPr>
      <w:r>
        <w:rPr>
          <w:rFonts w:hint="eastAsia" w:ascii="方正仿宋_GBK" w:hAnsi="宋体" w:eastAsia="方正仿宋_GBK"/>
          <w:color w:val="auto"/>
          <w:sz w:val="24"/>
          <w:szCs w:val="24"/>
        </w:rPr>
        <w:t>本项目知识产权归采购人所有。</w:t>
      </w:r>
    </w:p>
    <w:p w14:paraId="642B742B">
      <w:pPr>
        <w:snapToGrid w:val="0"/>
        <w:spacing w:line="400" w:lineRule="exact"/>
        <w:ind w:firstLine="54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39A89BE">
      <w:pPr>
        <w:pStyle w:val="3"/>
        <w:adjustRightInd w:val="0"/>
        <w:snapToGrid w:val="0"/>
        <w:spacing w:before="0" w:after="0" w:line="400" w:lineRule="exact"/>
        <w:ind w:firstLine="480" w:firstLineChars="200"/>
        <w:rPr>
          <w:rFonts w:hint="eastAsia" w:ascii="方正仿宋_GBK" w:hAnsi="宋体" w:eastAsia="方正仿宋_GBK" w:cs="Times New Roman"/>
          <w:b/>
          <w:bCs w:val="0"/>
          <w:color w:val="auto"/>
          <w:sz w:val="24"/>
          <w:lang w:val="en-US" w:eastAsia="zh-CN"/>
        </w:rPr>
      </w:pPr>
      <w:bookmarkStart w:id="44" w:name="_Toc108013105"/>
      <w:bookmarkStart w:id="45" w:name="_Toc31910"/>
      <w:bookmarkStart w:id="46" w:name="_Toc19427"/>
      <w:bookmarkStart w:id="47" w:name="_Toc947"/>
      <w:bookmarkStart w:id="48" w:name="_Toc25707"/>
      <w:bookmarkStart w:id="49" w:name="_Toc18104"/>
      <w:bookmarkStart w:id="50" w:name="_Toc2954"/>
      <w:bookmarkStart w:id="51" w:name="_Toc466546918"/>
      <w:bookmarkStart w:id="52" w:name="_Toc21248"/>
      <w:bookmarkStart w:id="53" w:name="_Toc65660348"/>
      <w:bookmarkStart w:id="54" w:name="_Toc31659"/>
      <w:bookmarkStart w:id="55" w:name="_Toc106034788"/>
      <w:bookmarkStart w:id="56" w:name="_Toc23902"/>
      <w:r>
        <w:rPr>
          <w:rFonts w:hint="eastAsia" w:ascii="方正仿宋_GBK" w:hAnsi="宋体" w:eastAsia="方正仿宋_GBK" w:cs="Times New Roman"/>
          <w:b/>
          <w:bCs w:val="0"/>
          <w:color w:val="auto"/>
          <w:sz w:val="24"/>
          <w:lang w:val="en-US" w:eastAsia="zh-CN"/>
        </w:rPr>
        <w:t>六、履约担保</w:t>
      </w:r>
    </w:p>
    <w:p w14:paraId="44532ABC">
      <w:pPr>
        <w:pStyle w:val="3"/>
        <w:adjustRightInd w:val="0"/>
        <w:snapToGrid w:val="0"/>
        <w:spacing w:before="0" w:after="0" w:line="400" w:lineRule="exact"/>
        <w:ind w:firstLine="480" w:firstLineChars="200"/>
        <w:rPr>
          <w:rFonts w:hint="eastAsia" w:ascii="方正仿宋_GBK" w:hAnsi="宋体" w:eastAsia="方正仿宋_GBK" w:cs="Times New Roman"/>
          <w:b w:val="0"/>
          <w:bCs/>
          <w:color w:val="auto"/>
          <w:sz w:val="24"/>
          <w:lang w:val="en-US" w:eastAsia="zh-CN"/>
        </w:rPr>
      </w:pPr>
      <w:r>
        <w:rPr>
          <w:rFonts w:hint="eastAsia" w:ascii="方正仿宋_GBK" w:hAnsi="宋体" w:eastAsia="方正仿宋_GBK" w:cs="Times New Roman"/>
          <w:b w:val="0"/>
          <w:bCs/>
          <w:color w:val="auto"/>
          <w:sz w:val="24"/>
          <w:lang w:val="en-US" w:eastAsia="zh-CN"/>
        </w:rPr>
        <w:t>履约担保形式：转账或者保函。</w:t>
      </w:r>
    </w:p>
    <w:p w14:paraId="360D0B41">
      <w:pPr>
        <w:pStyle w:val="3"/>
        <w:adjustRightInd w:val="0"/>
        <w:snapToGrid w:val="0"/>
        <w:spacing w:before="0" w:after="0" w:line="400" w:lineRule="exact"/>
        <w:ind w:firstLine="480" w:firstLineChars="200"/>
        <w:rPr>
          <w:rFonts w:hint="eastAsia" w:ascii="方正仿宋_GBK" w:hAnsi="宋体" w:eastAsia="方正仿宋_GBK" w:cs="Times New Roman"/>
          <w:b w:val="0"/>
          <w:bCs/>
          <w:color w:val="auto"/>
          <w:sz w:val="24"/>
          <w:lang w:val="en-US" w:eastAsia="zh-CN"/>
        </w:rPr>
      </w:pPr>
      <w:r>
        <w:rPr>
          <w:rFonts w:hint="eastAsia" w:ascii="方正仿宋_GBK" w:hAnsi="宋体" w:eastAsia="方正仿宋_GBK" w:cs="Times New Roman"/>
          <w:b w:val="0"/>
          <w:bCs/>
          <w:color w:val="auto"/>
          <w:sz w:val="24"/>
          <w:lang w:val="en-US" w:eastAsia="zh-CN"/>
        </w:rPr>
        <w:t>金额：合同金额的10%。</w:t>
      </w:r>
    </w:p>
    <w:p w14:paraId="38A2CD7C">
      <w:pPr>
        <w:pStyle w:val="3"/>
        <w:adjustRightInd w:val="0"/>
        <w:snapToGrid w:val="0"/>
        <w:spacing w:before="0" w:after="0" w:line="400" w:lineRule="exact"/>
        <w:ind w:firstLine="480" w:firstLineChars="200"/>
        <w:rPr>
          <w:rFonts w:hint="eastAsia" w:ascii="方正仿宋_GBK" w:hAnsi="宋体" w:eastAsia="方正仿宋_GBK" w:cs="Times New Roman"/>
          <w:b w:val="0"/>
          <w:bCs/>
          <w:color w:val="auto"/>
          <w:sz w:val="24"/>
          <w:lang w:eastAsia="zh-CN"/>
        </w:rPr>
      </w:pPr>
      <w:r>
        <w:rPr>
          <w:rFonts w:hint="eastAsia" w:ascii="方正仿宋_GBK" w:hAnsi="宋体" w:eastAsia="方正仿宋_GBK" w:cs="Times New Roman"/>
          <w:b w:val="0"/>
          <w:bCs/>
          <w:color w:val="auto"/>
          <w:sz w:val="24"/>
          <w:lang w:val="en-US" w:eastAsia="zh-CN"/>
        </w:rPr>
        <w:t>提交方式：成交供应商应在收到中标通知书后10个工作日内，按成交金额的10%向采购人提交履约保证金或者提交履约保函。</w:t>
      </w:r>
    </w:p>
    <w:p w14:paraId="6311C49C">
      <w:pPr>
        <w:pStyle w:val="3"/>
        <w:adjustRightInd w:val="0"/>
        <w:snapToGrid w:val="0"/>
        <w:spacing w:before="0" w:after="0" w:line="400" w:lineRule="exact"/>
        <w:ind w:firstLine="480" w:firstLineChars="200"/>
        <w:rPr>
          <w:rFonts w:hint="eastAsia" w:ascii="方正仿宋_GBK" w:hAnsi="宋体" w:eastAsia="方正仿宋_GBK" w:cs="Times New Roman"/>
          <w:b w:val="0"/>
          <w:bCs/>
          <w:color w:val="auto"/>
          <w:sz w:val="24"/>
          <w:lang w:eastAsia="zh-CN"/>
        </w:rPr>
      </w:pPr>
      <w:r>
        <w:rPr>
          <w:rFonts w:hint="eastAsia" w:ascii="方正仿宋_GBK" w:hAnsi="宋体" w:eastAsia="方正仿宋_GBK" w:cs="Times New Roman"/>
          <w:b w:val="0"/>
          <w:bCs/>
          <w:color w:val="auto"/>
          <w:sz w:val="24"/>
          <w:lang w:val="en-US" w:eastAsia="zh-CN"/>
        </w:rPr>
        <w:t>退还方式：项目验收合格后10个工作日内一次性无息退还。</w:t>
      </w:r>
    </w:p>
    <w:p w14:paraId="73C952D7">
      <w:pPr>
        <w:pStyle w:val="3"/>
        <w:adjustRightInd w:val="0"/>
        <w:snapToGrid w:val="0"/>
        <w:spacing w:before="0" w:after="0" w:line="400" w:lineRule="exact"/>
        <w:ind w:firstLine="480" w:firstLineChars="200"/>
        <w:jc w:val="left"/>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lang w:eastAsia="zh-CN"/>
        </w:rPr>
        <w:t>七</w:t>
      </w:r>
      <w:r>
        <w:rPr>
          <w:rFonts w:hint="eastAsia" w:ascii="方正仿宋_GBK" w:hAnsi="方正仿宋_GBK" w:eastAsia="方正仿宋_GBK" w:cs="方正仿宋_GBK"/>
          <w:color w:val="auto"/>
          <w:sz w:val="24"/>
        </w:rPr>
        <w:t>、项目风险管控</w:t>
      </w:r>
      <w:bookmarkEnd w:id="44"/>
      <w:bookmarkEnd w:id="45"/>
      <w:bookmarkEnd w:id="46"/>
      <w:bookmarkEnd w:id="47"/>
      <w:bookmarkEnd w:id="48"/>
      <w:bookmarkEnd w:id="49"/>
    </w:p>
    <w:p w14:paraId="479FB05E">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本项目采购过程和合同履行过程中，如遇国家政策变化、实施环境变化、重大技术变化、预算项目调整等情况，按下列方式处置：</w:t>
      </w:r>
    </w:p>
    <w:p w14:paraId="520870DD">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1.处于采购过程中的，如果相关变化将导致采购任务取消的，应当按照《中华人民共和国政府采购法》第三十六条规定，取消采购任务，作废标处理；</w:t>
      </w:r>
    </w:p>
    <w:p w14:paraId="1FF8CEAD">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2.采购已经完成，尚未签订合同的，如果相关变化导致不能实现合同目的，按不可抗力事件处理，取消采购任务，采购人与供应商不再签订合同；</w:t>
      </w:r>
    </w:p>
    <w:p w14:paraId="13E6B906">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bookmarkStart w:id="57" w:name="_Toc6830"/>
      <w:r>
        <w:rPr>
          <w:rFonts w:hint="eastAsia" w:ascii="方正仿宋_GBK" w:hAnsi="方正仿宋_GBK" w:eastAsia="方正仿宋_GBK" w:cs="方正仿宋_GBK"/>
          <w:color w:val="auto"/>
          <w:sz w:val="24"/>
          <w:szCs w:val="24"/>
        </w:rPr>
        <w:t>3.合同已签订的，如果相关变化导致不能实现合同目的或合同价款等实质性条款变化，针对变化部分按不可抗力事件处理，采购人与供应商协商后解除合同或签订补充协议。</w:t>
      </w:r>
      <w:bookmarkEnd w:id="50"/>
      <w:bookmarkEnd w:id="51"/>
      <w:bookmarkEnd w:id="57"/>
    </w:p>
    <w:p w14:paraId="3B2D7CFC">
      <w:pPr>
        <w:pStyle w:val="3"/>
        <w:adjustRightInd w:val="0"/>
        <w:snapToGrid w:val="0"/>
        <w:spacing w:before="0" w:after="0" w:line="400" w:lineRule="exact"/>
        <w:ind w:firstLine="480" w:firstLineChars="200"/>
        <w:rPr>
          <w:rFonts w:hint="eastAsia" w:ascii="方正仿宋_GBK" w:hAnsi="方正仿宋_GBK" w:eastAsia="方正仿宋_GBK" w:cs="方正仿宋_GBK"/>
          <w:color w:val="auto"/>
          <w:sz w:val="24"/>
          <w:lang w:eastAsia="zh-CN"/>
        </w:rPr>
      </w:pPr>
      <w:r>
        <w:rPr>
          <w:rFonts w:hint="eastAsia" w:ascii="方正仿宋_GBK" w:hAnsi="宋体" w:eastAsia="方正仿宋_GBK"/>
          <w:color w:val="auto"/>
          <w:sz w:val="24"/>
          <w:lang w:eastAsia="zh-CN"/>
        </w:rPr>
        <w:t>八、</w:t>
      </w:r>
      <w:r>
        <w:rPr>
          <w:rFonts w:hint="eastAsia" w:ascii="方正仿宋_GBK" w:hAnsi="方正仿宋_GBK" w:eastAsia="方正仿宋_GBK" w:cs="方正仿宋_GBK"/>
          <w:color w:val="auto"/>
          <w:sz w:val="24"/>
        </w:rPr>
        <w:t>违约责任</w:t>
      </w:r>
    </w:p>
    <w:p w14:paraId="2F6B5FF9">
      <w:pPr>
        <w:pStyle w:val="3"/>
        <w:adjustRightInd w:val="0"/>
        <w:snapToGrid w:val="0"/>
        <w:spacing w:before="0" w:after="0" w:line="400" w:lineRule="exact"/>
        <w:ind w:firstLine="480" w:firstLineChars="200"/>
        <w:rPr>
          <w:rFonts w:hint="eastAsia" w:ascii="方正仿宋_GBK" w:hAnsi="宋体" w:eastAsia="方正仿宋_GBK"/>
          <w:b w:val="0"/>
          <w:bCs/>
          <w:color w:val="auto"/>
          <w:sz w:val="24"/>
          <w:lang w:eastAsia="zh-CN"/>
        </w:rPr>
      </w:pPr>
      <w:r>
        <w:rPr>
          <w:rFonts w:hint="eastAsia" w:ascii="方正仿宋_GBK" w:hAnsi="宋体" w:eastAsia="方正仿宋_GBK"/>
          <w:b w:val="0"/>
          <w:bCs/>
          <w:color w:val="auto"/>
          <w:sz w:val="24"/>
          <w:lang w:eastAsia="zh-CN"/>
        </w:rPr>
        <w:t>1、</w:t>
      </w:r>
      <w:r>
        <w:rPr>
          <w:rFonts w:hint="eastAsia" w:ascii="方正仿宋_GBK" w:hAnsi="宋体" w:eastAsia="方正仿宋_GBK"/>
          <w:b w:val="0"/>
          <w:bCs/>
          <w:color w:val="auto"/>
          <w:sz w:val="24"/>
          <w:lang w:val="en-US" w:eastAsia="zh-CN"/>
        </w:rPr>
        <w:t>由于成交供应商原因导致项目超出约定工期的，每迟交一天,按1000元/日扣除成交供应商违约金，累计违约金上限为签约合同价的10%，逾期满【30】日的，采购人有权解除合同，成交供应商应赔偿给采购人造成的损失，并自行承担相关费用。</w:t>
      </w:r>
    </w:p>
    <w:p w14:paraId="0FB9C3D8">
      <w:pPr>
        <w:pStyle w:val="3"/>
        <w:adjustRightInd w:val="0"/>
        <w:snapToGrid w:val="0"/>
        <w:spacing w:before="0" w:after="0" w:line="400" w:lineRule="exact"/>
        <w:ind w:firstLine="480" w:firstLineChars="200"/>
        <w:rPr>
          <w:rFonts w:hint="eastAsia" w:ascii="方正仿宋_GBK" w:hAnsi="宋体" w:eastAsia="方正仿宋_GBK"/>
          <w:b w:val="0"/>
          <w:bCs/>
          <w:color w:val="auto"/>
          <w:sz w:val="24"/>
          <w:lang w:eastAsia="zh-CN"/>
        </w:rPr>
      </w:pPr>
      <w:r>
        <w:rPr>
          <w:rFonts w:hint="eastAsia" w:ascii="方正仿宋_GBK" w:hAnsi="宋体" w:eastAsia="方正仿宋_GBK"/>
          <w:b w:val="0"/>
          <w:bCs/>
          <w:color w:val="auto"/>
          <w:sz w:val="24"/>
          <w:lang w:eastAsia="zh-CN"/>
        </w:rPr>
        <w:t>2、</w:t>
      </w:r>
      <w:r>
        <w:rPr>
          <w:rFonts w:hint="eastAsia" w:ascii="方正仿宋_GBK" w:hAnsi="宋体" w:eastAsia="方正仿宋_GBK"/>
          <w:b w:val="0"/>
          <w:bCs/>
          <w:color w:val="auto"/>
          <w:sz w:val="24"/>
          <w:lang w:val="en-US" w:eastAsia="zh-CN"/>
        </w:rPr>
        <w:t>成交供应商实施项目未达到本项目要求的，成交供应商应及时予以整改。成交供应商未及时整改或者整改后仍不符合要求的，采购人有权扣除履约保证金、解除合同，成交供应商自行承担相关费用。</w:t>
      </w:r>
    </w:p>
    <w:p w14:paraId="75419F05">
      <w:pPr>
        <w:pStyle w:val="3"/>
        <w:adjustRightInd w:val="0"/>
        <w:snapToGrid w:val="0"/>
        <w:spacing w:before="0" w:after="0" w:line="400" w:lineRule="exact"/>
        <w:ind w:firstLine="480" w:firstLineChars="200"/>
        <w:rPr>
          <w:rFonts w:hint="eastAsia" w:ascii="方正仿宋_GBK" w:hAnsi="宋体" w:eastAsia="方正仿宋_GBK"/>
          <w:b w:val="0"/>
          <w:bCs/>
          <w:color w:val="auto"/>
          <w:sz w:val="24"/>
          <w:lang w:eastAsia="zh-CN"/>
        </w:rPr>
      </w:pPr>
      <w:r>
        <w:rPr>
          <w:rFonts w:hint="eastAsia" w:ascii="方正仿宋_GBK" w:hAnsi="宋体" w:eastAsia="方正仿宋_GBK"/>
          <w:b w:val="0"/>
          <w:bCs/>
          <w:color w:val="auto"/>
          <w:sz w:val="24"/>
          <w:lang w:eastAsia="zh-CN"/>
        </w:rPr>
        <w:t>3、</w:t>
      </w:r>
      <w:r>
        <w:rPr>
          <w:rFonts w:hint="eastAsia" w:ascii="方正仿宋_GBK" w:hAnsi="宋体" w:eastAsia="方正仿宋_GBK"/>
          <w:b w:val="0"/>
          <w:bCs/>
          <w:color w:val="auto"/>
          <w:sz w:val="24"/>
          <w:lang w:val="en-US" w:eastAsia="zh-CN"/>
        </w:rPr>
        <w:t>成交供应商违反项目合同和采购文件约定的有关质量保证及售后服务的，采购人有权委托第三方进行保修，所产生的费用由成交供应商承担。若因项目缺陷或质量等问题造成采购人或任何人员人身、财产损害的，成交供应商应承担有关责任并作出相应赔偿</w:t>
      </w:r>
      <w:r>
        <w:rPr>
          <w:rFonts w:hint="eastAsia" w:ascii="方正仿宋_GBK" w:hAnsi="宋体" w:eastAsia="方正仿宋_GBK"/>
          <w:b w:val="0"/>
          <w:bCs/>
          <w:color w:val="auto"/>
          <w:sz w:val="24"/>
          <w:lang w:eastAsia="zh-CN"/>
        </w:rPr>
        <w:t>。</w:t>
      </w:r>
    </w:p>
    <w:p w14:paraId="3F90DE1D">
      <w:pPr>
        <w:pStyle w:val="3"/>
        <w:adjustRightInd w:val="0"/>
        <w:snapToGrid w:val="0"/>
        <w:spacing w:before="0" w:after="0" w:line="400" w:lineRule="exact"/>
        <w:ind w:firstLine="480" w:firstLineChars="200"/>
        <w:rPr>
          <w:rFonts w:hint="eastAsia" w:ascii="方正仿宋_GBK" w:hAnsi="宋体" w:eastAsia="方正仿宋_GBK"/>
          <w:color w:val="auto"/>
          <w:sz w:val="24"/>
          <w:lang w:eastAsia="zh-CN"/>
        </w:rPr>
      </w:pPr>
      <w:r>
        <w:rPr>
          <w:rFonts w:hint="eastAsia" w:ascii="方正仿宋_GBK" w:hAnsi="宋体" w:eastAsia="方正仿宋_GBK"/>
          <w:color w:val="auto"/>
          <w:sz w:val="24"/>
          <w:lang w:eastAsia="zh-CN"/>
        </w:rPr>
        <w:t>九、合同争议</w:t>
      </w:r>
    </w:p>
    <w:p w14:paraId="0927B4D3">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项目执行中，如发生争议由双方协商解决，协商不成向甲方所在地具有管辖权人民法院提请诉讼。</w:t>
      </w:r>
    </w:p>
    <w:p w14:paraId="69A98D98">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lang w:eastAsia="zh-CN"/>
        </w:rPr>
        <w:t>十</w:t>
      </w:r>
      <w:r>
        <w:rPr>
          <w:rFonts w:hint="eastAsia" w:ascii="方正仿宋_GBK" w:hAnsi="宋体" w:eastAsia="方正仿宋_GBK"/>
          <w:color w:val="auto"/>
          <w:sz w:val="24"/>
        </w:rPr>
        <w:t>、其他</w:t>
      </w:r>
      <w:bookmarkEnd w:id="52"/>
      <w:bookmarkEnd w:id="53"/>
      <w:bookmarkEnd w:id="54"/>
      <w:bookmarkEnd w:id="55"/>
      <w:bookmarkEnd w:id="56"/>
    </w:p>
    <w:p w14:paraId="3655BC2C">
      <w:pPr>
        <w:adjustRightInd w:val="0"/>
        <w:snapToGrid w:val="0"/>
        <w:spacing w:line="400" w:lineRule="exact"/>
        <w:ind w:firstLine="480" w:firstLineChars="20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其他未尽事宜由供需双方在采购合同中详细约定。</w:t>
      </w:r>
    </w:p>
    <w:p w14:paraId="36194B77">
      <w:pPr>
        <w:pStyle w:val="44"/>
        <w:ind w:left="0" w:leftChars="0" w:firstLine="480" w:firstLineChars="200"/>
        <w:jc w:val="left"/>
        <w:rPr>
          <w:rFonts w:hint="eastAsia" w:ascii="方正仿宋_GBK" w:hAnsi="方正仿宋_GBK" w:eastAsia="方正仿宋_GBK" w:cs="方正仿宋_GBK"/>
          <w:color w:val="auto"/>
          <w:kern w:val="2"/>
          <w:sz w:val="24"/>
          <w:szCs w:val="24"/>
          <w:lang w:val="en-US" w:eastAsia="zh-CN" w:bidi="ar-SA"/>
        </w:rPr>
        <w:sectPr>
          <w:footerReference r:id="rId19" w:type="default"/>
          <w:footerReference r:id="rId20" w:type="even"/>
          <w:pgSz w:w="11907" w:h="16840"/>
          <w:pgMar w:top="1134" w:right="1191" w:bottom="1134" w:left="1304" w:header="964" w:footer="992" w:gutter="0"/>
          <w:pgNumType w:fmt="numberInDash"/>
          <w:cols w:space="720" w:num="1"/>
          <w:docGrid w:linePitch="312" w:charSpace="0"/>
        </w:sectPr>
      </w:pPr>
      <w:r>
        <w:rPr>
          <w:rFonts w:hint="eastAsia" w:ascii="方正仿宋_GBK" w:hAnsi="方正仿宋_GBK" w:eastAsia="方正仿宋_GBK" w:cs="方正仿宋_GBK"/>
          <w:color w:val="auto"/>
          <w:kern w:val="2"/>
          <w:sz w:val="24"/>
          <w:szCs w:val="24"/>
          <w:lang w:val="en-US" w:eastAsia="zh-CN" w:bidi="ar-SA"/>
        </w:rPr>
        <w:t>注：以上要求均为实质性要求。</w:t>
      </w:r>
    </w:p>
    <w:p w14:paraId="71367CF3">
      <w:pPr>
        <w:pStyle w:val="3"/>
        <w:pageBreakBefore/>
        <w:spacing w:before="0" w:after="0" w:line="360" w:lineRule="auto"/>
        <w:jc w:val="both"/>
        <w:rPr>
          <w:rFonts w:hint="eastAsia" w:ascii="方正小标宋_GBK" w:hAnsi="宋体" w:eastAsia="方正小标宋_GBK"/>
          <w:b w:val="0"/>
          <w:color w:val="auto"/>
          <w:sz w:val="36"/>
          <w:szCs w:val="30"/>
        </w:rPr>
      </w:pPr>
      <w:bookmarkStart w:id="58" w:name="_Toc76462332"/>
      <w:bookmarkStart w:id="59" w:name="_Toc106030887"/>
      <w:r>
        <w:rPr>
          <w:rFonts w:hint="eastAsia" w:ascii="方正小标宋_GBK" w:hAnsi="宋体" w:eastAsia="方正小标宋_GBK"/>
          <w:b w:val="0"/>
          <w:color w:val="auto"/>
          <w:sz w:val="36"/>
          <w:szCs w:val="30"/>
        </w:rPr>
        <w:t xml:space="preserve">第四篇  </w:t>
      </w:r>
      <w:r>
        <w:rPr>
          <w:rFonts w:hint="eastAsia" w:ascii="方正小标宋_GBK" w:hAnsi="宋体" w:eastAsia="方正小标宋_GBK"/>
          <w:b w:val="0"/>
          <w:color w:val="auto"/>
          <w:sz w:val="36"/>
          <w:szCs w:val="30"/>
          <w:lang w:eastAsia="zh-CN"/>
        </w:rPr>
        <w:t>评分</w:t>
      </w:r>
      <w:r>
        <w:rPr>
          <w:rFonts w:hint="eastAsia" w:ascii="方正小标宋_GBK" w:hAnsi="宋体" w:eastAsia="方正小标宋_GBK"/>
          <w:b w:val="0"/>
          <w:color w:val="auto"/>
          <w:sz w:val="36"/>
          <w:szCs w:val="30"/>
        </w:rPr>
        <w:t>程序及方法、评审标准、无效响应和</w:t>
      </w:r>
      <w:r>
        <w:rPr>
          <w:rFonts w:hint="eastAsia" w:ascii="方正小标宋_GBK" w:eastAsia="方正小标宋_GBK"/>
          <w:b w:val="0"/>
          <w:color w:val="auto"/>
          <w:sz w:val="36"/>
          <w:szCs w:val="36"/>
        </w:rPr>
        <w:t>采购终止</w:t>
      </w:r>
      <w:bookmarkEnd w:id="58"/>
      <w:bookmarkEnd w:id="59"/>
    </w:p>
    <w:p w14:paraId="2F1954FE">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60" w:name="_Toc76462333"/>
      <w:bookmarkStart w:id="61" w:name="_Toc106030888"/>
      <w:r>
        <w:rPr>
          <w:rFonts w:hint="eastAsia" w:ascii="方正仿宋_GBK" w:hAnsi="宋体" w:eastAsia="方正仿宋_GBK"/>
          <w:color w:val="auto"/>
          <w:sz w:val="24"/>
        </w:rPr>
        <w:t>一、</w:t>
      </w:r>
      <w:r>
        <w:rPr>
          <w:rFonts w:hint="eastAsia" w:ascii="方正仿宋_GBK" w:hAnsi="宋体" w:eastAsia="方正仿宋_GBK"/>
          <w:color w:val="auto"/>
          <w:sz w:val="24"/>
          <w:lang w:eastAsia="zh-CN"/>
        </w:rPr>
        <w:t>评分</w:t>
      </w:r>
      <w:r>
        <w:rPr>
          <w:rFonts w:hint="eastAsia" w:ascii="方正仿宋_GBK" w:hAnsi="宋体" w:eastAsia="方正仿宋_GBK"/>
          <w:color w:val="auto"/>
          <w:sz w:val="24"/>
        </w:rPr>
        <w:t>程序及方法</w:t>
      </w:r>
      <w:bookmarkEnd w:id="60"/>
      <w:bookmarkEnd w:id="61"/>
    </w:p>
    <w:p w14:paraId="5531AC65">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（一）评分按采购文件规定的时间和地点进行，供应商须有法定代表人（或其授权代表）或自然人参加并签到。限额以下磋商评分以抽签的形式确定磋商顺序，由本项目评审小组分别与各供应商进行磋商。</w:t>
      </w:r>
    </w:p>
    <w:p w14:paraId="64CAE8A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（二）评审小组对各供应商的资格条件、响应文件的有效性、完整性和响应程度进行审查。各供应商只有在完全符合要求的前提下，才能参与正式磋商。</w:t>
      </w:r>
    </w:p>
    <w:p w14:paraId="7B519388">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olor w:val="auto"/>
          <w:sz w:val="24"/>
          <w:szCs w:val="24"/>
        </w:rPr>
        <w:t>1.</w:t>
      </w:r>
      <w:r>
        <w:rPr>
          <w:rFonts w:hint="eastAsia" w:ascii="方正仿宋_GBK" w:hAnsi="宋体" w:eastAsia="方正仿宋_GBK" w:cs="宋体"/>
          <w:color w:val="auto"/>
          <w:kern w:val="0"/>
          <w:sz w:val="24"/>
          <w:szCs w:val="24"/>
        </w:rPr>
        <w:t>资格性审查。依据法律法规和采购文件的规定，对响应文件中的资格证明、等进行审查，以确定供应商是否具备磋商资格。资格性审查资料表如下：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2AF0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14:paraId="7A117EE0">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09A860FF">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noWrap w:val="0"/>
            <w:vAlign w:val="center"/>
          </w:tcPr>
          <w:p w14:paraId="256DDF5B">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检查内容</w:t>
            </w:r>
          </w:p>
        </w:tc>
      </w:tr>
      <w:tr w14:paraId="3C7D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14:paraId="39128025">
            <w:pPr>
              <w:jc w:val="cente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（一）</w:t>
            </w:r>
          </w:p>
        </w:tc>
        <w:tc>
          <w:tcPr>
            <w:tcW w:w="709" w:type="dxa"/>
            <w:vMerge w:val="restart"/>
            <w:noWrap w:val="0"/>
            <w:vAlign w:val="center"/>
          </w:tcPr>
          <w:p w14:paraId="29385500">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《中华人民共和国政府采购法》第二十二条规定</w:t>
            </w:r>
          </w:p>
        </w:tc>
        <w:tc>
          <w:tcPr>
            <w:tcW w:w="3118" w:type="dxa"/>
            <w:noWrap w:val="0"/>
            <w:vAlign w:val="center"/>
          </w:tcPr>
          <w:p w14:paraId="1D52893F">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1.具有独立承担民事责任的能力</w:t>
            </w:r>
          </w:p>
        </w:tc>
        <w:tc>
          <w:tcPr>
            <w:tcW w:w="4984" w:type="dxa"/>
            <w:noWrap w:val="0"/>
            <w:vAlign w:val="center"/>
          </w:tcPr>
          <w:p w14:paraId="66283DF9">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 xml:space="preserve">1.供应商法人营业执照（副本）或事业单位法人证书（副本）或个体工商户营业执照或有效的自然人身份证明或社会团体法人登记证书（提供复印件）。 </w:t>
            </w:r>
          </w:p>
          <w:p w14:paraId="4018340D">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2.供应商法定代表人身份证明和法定代表人授权代表委托书。</w:t>
            </w:r>
          </w:p>
        </w:tc>
      </w:tr>
      <w:tr w14:paraId="63DF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56800597">
            <w:pPr>
              <w:jc w:val="center"/>
              <w:rPr>
                <w:rFonts w:hint="eastAsia" w:ascii="方正仿宋_GBK" w:hAnsi="仿宋" w:eastAsia="方正仿宋_GBK"/>
                <w:color w:val="auto"/>
                <w:sz w:val="21"/>
                <w:szCs w:val="21"/>
              </w:rPr>
            </w:pPr>
          </w:p>
        </w:tc>
        <w:tc>
          <w:tcPr>
            <w:tcW w:w="709" w:type="dxa"/>
            <w:vMerge w:val="continue"/>
            <w:noWrap w:val="0"/>
            <w:vAlign w:val="center"/>
          </w:tcPr>
          <w:p w14:paraId="1116E38D">
            <w:pPr>
              <w:rPr>
                <w:rFonts w:hint="eastAsia" w:ascii="方正仿宋_GBK" w:hAnsi="仿宋" w:eastAsia="方正仿宋_GBK" w:cs="仿宋_GB2312"/>
                <w:color w:val="auto"/>
                <w:sz w:val="21"/>
                <w:szCs w:val="21"/>
                <w:lang w:val="zh-CN"/>
              </w:rPr>
            </w:pPr>
          </w:p>
        </w:tc>
        <w:tc>
          <w:tcPr>
            <w:tcW w:w="3118" w:type="dxa"/>
            <w:noWrap w:val="0"/>
            <w:vAlign w:val="center"/>
          </w:tcPr>
          <w:p w14:paraId="2DCBA33E">
            <w:pPr>
              <w:rPr>
                <w:rFonts w:hint="eastAsia" w:ascii="方正仿宋_GBK" w:hAnsi="仿宋" w:eastAsia="方正仿宋_GBK"/>
                <w:color w:val="auto"/>
                <w:sz w:val="21"/>
                <w:szCs w:val="21"/>
              </w:rPr>
            </w:pPr>
            <w:r>
              <w:rPr>
                <w:rFonts w:hint="eastAsia" w:ascii="方正仿宋_GBK" w:hAnsi="仿宋" w:eastAsia="方正仿宋_GBK" w:cs="仿宋_GB2312"/>
                <w:color w:val="auto"/>
                <w:sz w:val="21"/>
                <w:szCs w:val="21"/>
                <w:lang w:val="zh-CN"/>
              </w:rPr>
              <w:t>2.</w:t>
            </w:r>
            <w:r>
              <w:rPr>
                <w:rFonts w:hint="eastAsia" w:ascii="方正仿宋_GBK" w:hAnsi="仿宋" w:eastAsia="方正仿宋_GBK"/>
                <w:color w:val="auto"/>
                <w:sz w:val="21"/>
                <w:szCs w:val="21"/>
              </w:rPr>
              <w:t>具有良好的商业信誉和健全的财务会计制度</w:t>
            </w:r>
          </w:p>
        </w:tc>
        <w:tc>
          <w:tcPr>
            <w:tcW w:w="4984" w:type="dxa"/>
            <w:vMerge w:val="restart"/>
            <w:noWrap w:val="0"/>
            <w:vAlign w:val="center"/>
          </w:tcPr>
          <w:p w14:paraId="1914536D">
            <w:pPr>
              <w:rPr>
                <w:rFonts w:hint="eastAsia" w:ascii="方正仿宋_GBK" w:hAnsi="仿宋" w:eastAsia="方正仿宋_GBK"/>
                <w:b/>
                <w:color w:val="auto"/>
                <w:sz w:val="21"/>
                <w:szCs w:val="21"/>
              </w:rPr>
            </w:pPr>
            <w:r>
              <w:rPr>
                <w:rFonts w:hint="eastAsia" w:ascii="方正仿宋_GBK" w:hAnsi="仿宋" w:eastAsia="方正仿宋_GBK"/>
                <w:color w:val="auto"/>
                <w:sz w:val="21"/>
                <w:szCs w:val="21"/>
              </w:rPr>
              <w:t>供应商提供“基本资格条件承诺函”（格式详见第七篇）</w:t>
            </w:r>
          </w:p>
        </w:tc>
      </w:tr>
      <w:tr w14:paraId="3F60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5F25487">
            <w:pPr>
              <w:jc w:val="center"/>
              <w:rPr>
                <w:rFonts w:hint="eastAsia" w:ascii="方正仿宋_GBK" w:hAnsi="仿宋" w:eastAsia="方正仿宋_GBK"/>
                <w:color w:val="auto"/>
                <w:sz w:val="21"/>
                <w:szCs w:val="21"/>
              </w:rPr>
            </w:pPr>
          </w:p>
        </w:tc>
        <w:tc>
          <w:tcPr>
            <w:tcW w:w="709" w:type="dxa"/>
            <w:vMerge w:val="continue"/>
            <w:noWrap w:val="0"/>
            <w:vAlign w:val="center"/>
          </w:tcPr>
          <w:p w14:paraId="198265A9">
            <w:pPr>
              <w:rPr>
                <w:rFonts w:hint="eastAsia" w:ascii="方正仿宋_GBK" w:hAnsi="仿宋" w:eastAsia="方正仿宋_GBK" w:cs="仿宋_GB2312"/>
                <w:color w:val="auto"/>
                <w:sz w:val="21"/>
                <w:szCs w:val="21"/>
                <w:lang w:val="zh-CN"/>
              </w:rPr>
            </w:pPr>
          </w:p>
        </w:tc>
        <w:tc>
          <w:tcPr>
            <w:tcW w:w="3118" w:type="dxa"/>
            <w:noWrap w:val="0"/>
            <w:vAlign w:val="center"/>
          </w:tcPr>
          <w:p w14:paraId="72BBF39D">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3.具有履行合同所必需的设备和专业技术能力</w:t>
            </w:r>
          </w:p>
        </w:tc>
        <w:tc>
          <w:tcPr>
            <w:tcW w:w="4984" w:type="dxa"/>
            <w:vMerge w:val="continue"/>
            <w:noWrap w:val="0"/>
            <w:vAlign w:val="center"/>
          </w:tcPr>
          <w:p w14:paraId="68AB65DD">
            <w:pPr>
              <w:rPr>
                <w:rFonts w:hint="eastAsia" w:ascii="方正仿宋_GBK" w:hAnsi="仿宋" w:eastAsia="方正仿宋_GBK"/>
                <w:color w:val="auto"/>
                <w:sz w:val="21"/>
                <w:szCs w:val="21"/>
              </w:rPr>
            </w:pPr>
          </w:p>
        </w:tc>
      </w:tr>
      <w:tr w14:paraId="083A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4821262F">
            <w:pPr>
              <w:jc w:val="center"/>
              <w:rPr>
                <w:rFonts w:hint="eastAsia" w:ascii="方正仿宋_GBK" w:hAnsi="仿宋" w:eastAsia="方正仿宋_GBK"/>
                <w:color w:val="auto"/>
                <w:sz w:val="21"/>
                <w:szCs w:val="21"/>
              </w:rPr>
            </w:pPr>
          </w:p>
        </w:tc>
        <w:tc>
          <w:tcPr>
            <w:tcW w:w="709" w:type="dxa"/>
            <w:vMerge w:val="continue"/>
            <w:noWrap w:val="0"/>
            <w:vAlign w:val="center"/>
          </w:tcPr>
          <w:p w14:paraId="0260F8B2">
            <w:pPr>
              <w:rPr>
                <w:rFonts w:hint="eastAsia" w:ascii="方正仿宋_GBK" w:hAnsi="仿宋" w:eastAsia="方正仿宋_GBK" w:cs="仿宋_GB2312"/>
                <w:color w:val="auto"/>
                <w:sz w:val="21"/>
                <w:szCs w:val="21"/>
                <w:lang w:val="zh-CN"/>
              </w:rPr>
            </w:pPr>
          </w:p>
        </w:tc>
        <w:tc>
          <w:tcPr>
            <w:tcW w:w="3118" w:type="dxa"/>
            <w:noWrap w:val="0"/>
            <w:vAlign w:val="center"/>
          </w:tcPr>
          <w:p w14:paraId="7468B82A">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4.有依法缴纳税收和社会保障金的良好记录</w:t>
            </w:r>
          </w:p>
        </w:tc>
        <w:tc>
          <w:tcPr>
            <w:tcW w:w="4984" w:type="dxa"/>
            <w:vMerge w:val="continue"/>
            <w:noWrap w:val="0"/>
            <w:vAlign w:val="center"/>
          </w:tcPr>
          <w:p w14:paraId="2161B613">
            <w:pPr>
              <w:rPr>
                <w:rFonts w:hint="eastAsia" w:ascii="方正仿宋_GBK" w:hAnsi="仿宋" w:eastAsia="方正仿宋_GBK"/>
                <w:color w:val="auto"/>
                <w:sz w:val="21"/>
                <w:szCs w:val="21"/>
              </w:rPr>
            </w:pPr>
          </w:p>
        </w:tc>
      </w:tr>
      <w:tr w14:paraId="3237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71A32173">
            <w:pPr>
              <w:jc w:val="center"/>
              <w:rPr>
                <w:rFonts w:hint="eastAsia" w:ascii="方正仿宋_GBK" w:hAnsi="仿宋" w:eastAsia="方正仿宋_GBK"/>
                <w:color w:val="auto"/>
                <w:sz w:val="21"/>
                <w:szCs w:val="21"/>
              </w:rPr>
            </w:pPr>
          </w:p>
        </w:tc>
        <w:tc>
          <w:tcPr>
            <w:tcW w:w="709" w:type="dxa"/>
            <w:vMerge w:val="continue"/>
            <w:noWrap w:val="0"/>
            <w:vAlign w:val="center"/>
          </w:tcPr>
          <w:p w14:paraId="548A9249">
            <w:pPr>
              <w:rPr>
                <w:rFonts w:hint="eastAsia" w:ascii="方正仿宋_GBK" w:hAnsi="仿宋" w:eastAsia="方正仿宋_GBK" w:cs="仿宋_GB2312"/>
                <w:color w:val="auto"/>
                <w:sz w:val="21"/>
                <w:szCs w:val="21"/>
                <w:lang w:val="zh-CN"/>
              </w:rPr>
            </w:pPr>
          </w:p>
        </w:tc>
        <w:tc>
          <w:tcPr>
            <w:tcW w:w="3118" w:type="dxa"/>
            <w:noWrap w:val="0"/>
            <w:vAlign w:val="center"/>
          </w:tcPr>
          <w:p w14:paraId="5A738637">
            <w:pPr>
              <w:rPr>
                <w:rFonts w:hint="eastAsia" w:ascii="方正仿宋_GBK" w:hAnsi="仿宋" w:eastAsia="方正仿宋_GBK" w:cs="仿宋_GB2312"/>
                <w:color w:val="auto"/>
                <w:sz w:val="21"/>
                <w:szCs w:val="21"/>
                <w:lang w:val="zh-CN"/>
              </w:rPr>
            </w:pPr>
            <w:r>
              <w:rPr>
                <w:rFonts w:hint="eastAsia" w:ascii="方正仿宋_GBK" w:hAnsi="仿宋" w:eastAsia="方正仿宋_GBK"/>
                <w:color w:val="auto"/>
                <w:sz w:val="21"/>
                <w:szCs w:val="21"/>
              </w:rPr>
              <w:t>5.参加政府采购活动前三年内，在经营活动中没有重大违法记录</w:t>
            </w:r>
          </w:p>
        </w:tc>
        <w:tc>
          <w:tcPr>
            <w:tcW w:w="4984" w:type="dxa"/>
            <w:vMerge w:val="continue"/>
            <w:noWrap w:val="0"/>
            <w:vAlign w:val="center"/>
          </w:tcPr>
          <w:p w14:paraId="7F0BDEEF">
            <w:pPr>
              <w:rPr>
                <w:rFonts w:hint="eastAsia" w:ascii="方正仿宋_GBK" w:hAnsi="仿宋" w:eastAsia="方正仿宋_GBK"/>
                <w:b/>
                <w:color w:val="auto"/>
                <w:sz w:val="21"/>
                <w:szCs w:val="21"/>
              </w:rPr>
            </w:pPr>
          </w:p>
        </w:tc>
      </w:tr>
      <w:tr w14:paraId="7949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37FD69FF">
            <w:pPr>
              <w:jc w:val="center"/>
              <w:rPr>
                <w:rFonts w:hint="eastAsia" w:ascii="方正仿宋_GBK" w:hAnsi="仿宋" w:eastAsia="方正仿宋_GBK"/>
                <w:color w:val="auto"/>
                <w:sz w:val="21"/>
                <w:szCs w:val="21"/>
              </w:rPr>
            </w:pPr>
          </w:p>
        </w:tc>
        <w:tc>
          <w:tcPr>
            <w:tcW w:w="709" w:type="dxa"/>
            <w:vMerge w:val="continue"/>
            <w:noWrap w:val="0"/>
            <w:vAlign w:val="center"/>
          </w:tcPr>
          <w:p w14:paraId="151D2C48">
            <w:pPr>
              <w:rPr>
                <w:rFonts w:hint="eastAsia" w:ascii="方正仿宋_GBK" w:hAnsi="仿宋" w:eastAsia="方正仿宋_GBK" w:cs="仿宋_GB2312"/>
                <w:color w:val="auto"/>
                <w:sz w:val="21"/>
                <w:szCs w:val="21"/>
              </w:rPr>
            </w:pPr>
          </w:p>
        </w:tc>
        <w:tc>
          <w:tcPr>
            <w:tcW w:w="3118" w:type="dxa"/>
            <w:noWrap w:val="0"/>
            <w:vAlign w:val="center"/>
          </w:tcPr>
          <w:p w14:paraId="0997087D">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6.法律、行政法规规定的其他条件</w:t>
            </w:r>
          </w:p>
        </w:tc>
        <w:tc>
          <w:tcPr>
            <w:tcW w:w="4984" w:type="dxa"/>
            <w:noWrap w:val="0"/>
            <w:vAlign w:val="center"/>
          </w:tcPr>
          <w:p w14:paraId="22915107">
            <w:pPr>
              <w:rPr>
                <w:rFonts w:hint="eastAsia" w:ascii="方正仿宋_GBK" w:hAnsi="仿宋" w:eastAsia="方正仿宋_GBK"/>
                <w:color w:val="auto"/>
                <w:sz w:val="21"/>
                <w:szCs w:val="21"/>
              </w:rPr>
            </w:pPr>
          </w:p>
        </w:tc>
      </w:tr>
      <w:tr w14:paraId="7AC9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30C83068">
            <w:pPr>
              <w:jc w:val="center"/>
              <w:rPr>
                <w:rFonts w:hint="eastAsia" w:ascii="方正仿宋_GBK" w:hAnsi="仿宋" w:eastAsia="方正仿宋_GBK"/>
                <w:color w:val="auto"/>
                <w:sz w:val="21"/>
                <w:szCs w:val="21"/>
              </w:rPr>
            </w:pPr>
          </w:p>
        </w:tc>
        <w:tc>
          <w:tcPr>
            <w:tcW w:w="709" w:type="dxa"/>
            <w:vMerge w:val="continue"/>
            <w:noWrap w:val="0"/>
            <w:vAlign w:val="center"/>
          </w:tcPr>
          <w:p w14:paraId="62C5E331">
            <w:pPr>
              <w:rPr>
                <w:rFonts w:hint="eastAsia" w:ascii="方正仿宋_GBK" w:hAnsi="仿宋" w:eastAsia="方正仿宋_GBK" w:cs="仿宋_GB2312"/>
                <w:color w:val="auto"/>
                <w:sz w:val="21"/>
                <w:szCs w:val="21"/>
              </w:rPr>
            </w:pPr>
          </w:p>
        </w:tc>
        <w:tc>
          <w:tcPr>
            <w:tcW w:w="3118" w:type="dxa"/>
            <w:noWrap w:val="0"/>
            <w:vAlign w:val="center"/>
          </w:tcPr>
          <w:p w14:paraId="4B25B287">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7.本项目的特定资格要求</w:t>
            </w:r>
          </w:p>
        </w:tc>
        <w:tc>
          <w:tcPr>
            <w:tcW w:w="4984" w:type="dxa"/>
            <w:noWrap w:val="0"/>
            <w:vAlign w:val="center"/>
          </w:tcPr>
          <w:p w14:paraId="64DC6E32">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按“第一篇三、供应商资格要求（二）本项目的特定资格要求”的要求提交</w:t>
            </w:r>
            <w:r>
              <w:rPr>
                <w:rFonts w:hint="eastAsia" w:ascii="方正仿宋_GBK" w:hAnsi="宋体" w:eastAsia="方正仿宋_GBK"/>
                <w:color w:val="auto"/>
                <w:sz w:val="21"/>
                <w:szCs w:val="21"/>
              </w:rPr>
              <w:t>（如果有）</w:t>
            </w:r>
            <w:r>
              <w:rPr>
                <w:rFonts w:hint="eastAsia" w:ascii="方正仿宋_GBK" w:hAnsi="仿宋" w:eastAsia="方正仿宋_GBK"/>
                <w:color w:val="auto"/>
                <w:sz w:val="21"/>
                <w:szCs w:val="21"/>
              </w:rPr>
              <w:t>。</w:t>
            </w:r>
          </w:p>
        </w:tc>
      </w:tr>
    </w:tbl>
    <w:p w14:paraId="36C1F4B9">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注：</w:t>
      </w:r>
    </w:p>
    <w:p w14:paraId="0579C118">
      <w:pPr>
        <w:snapToGrid w:val="0"/>
        <w:spacing w:line="400" w:lineRule="exact"/>
        <w:ind w:firstLine="480" w:firstLineChars="200"/>
        <w:rPr>
          <w:rFonts w:hint="eastAsia" w:ascii="方正仿宋_GBK" w:hAnsi="宋体" w:eastAsia="方正仿宋_GBK" w:cs="宋体"/>
          <w:color w:val="auto"/>
          <w:kern w:val="0"/>
          <w:sz w:val="24"/>
          <w:szCs w:val="24"/>
        </w:rPr>
      </w:pPr>
      <w:r>
        <w:rPr>
          <w:rFonts w:ascii="方正仿宋_GBK" w:hAnsi="宋体" w:eastAsia="方正仿宋_GBK" w:cs="宋体"/>
          <w:color w:val="auto"/>
          <w:kern w:val="0"/>
          <w:sz w:val="24"/>
          <w:szCs w:val="24"/>
        </w:rPr>
        <w:fldChar w:fldCharType="begin"/>
      </w:r>
      <w:r>
        <w:rPr>
          <w:rFonts w:ascii="方正仿宋_GBK" w:hAnsi="宋体" w:eastAsia="方正仿宋_GBK" w:cs="宋体"/>
          <w:color w:val="auto"/>
          <w:kern w:val="0"/>
          <w:sz w:val="24"/>
          <w:szCs w:val="24"/>
        </w:rPr>
        <w:instrText xml:space="preserve"> </w:instrText>
      </w:r>
      <w:r>
        <w:rPr>
          <w:rFonts w:hint="eastAsia" w:ascii="方正仿宋_GBK" w:hAnsi="宋体" w:eastAsia="方正仿宋_GBK" w:cs="宋体"/>
          <w:color w:val="auto"/>
          <w:kern w:val="0"/>
          <w:sz w:val="24"/>
          <w:szCs w:val="24"/>
        </w:rPr>
        <w:instrText xml:space="preserve">eq \o\ac(○,</w:instrText>
      </w:r>
      <w:r>
        <w:rPr>
          <w:rFonts w:hint="eastAsia" w:ascii="宋体" w:hAnsi="宋体" w:eastAsia="方正仿宋_GBK" w:cs="宋体"/>
          <w:color w:val="auto"/>
          <w:kern w:val="0"/>
          <w:position w:val="3"/>
          <w:sz w:val="16"/>
          <w:szCs w:val="24"/>
        </w:rPr>
        <w:instrText xml:space="preserve">1</w:instrText>
      </w:r>
      <w:r>
        <w:rPr>
          <w:rFonts w:hint="eastAsia" w:ascii="方正仿宋_GBK" w:hAnsi="宋体" w:eastAsia="方正仿宋_GBK" w:cs="宋体"/>
          <w:color w:val="auto"/>
          <w:kern w:val="0"/>
          <w:sz w:val="24"/>
          <w:szCs w:val="24"/>
        </w:rPr>
        <w:instrText xml:space="preserve">)</w:instrText>
      </w:r>
      <w:r>
        <w:rPr>
          <w:rFonts w:ascii="方正仿宋_GBK" w:hAnsi="宋体" w:eastAsia="方正仿宋_GBK" w:cs="宋体"/>
          <w:color w:val="auto"/>
          <w:kern w:val="0"/>
          <w:sz w:val="24"/>
          <w:szCs w:val="24"/>
        </w:rPr>
        <w:fldChar w:fldCharType="end"/>
      </w:r>
      <w:r>
        <w:rPr>
          <w:rFonts w:hint="eastAsia" w:ascii="方正仿宋_GBK" w:hAnsi="宋体" w:eastAsia="方正仿宋_GBK" w:cs="宋体"/>
          <w:color w:val="auto"/>
          <w:kern w:val="0"/>
          <w:sz w:val="24"/>
          <w:szCs w:val="24"/>
        </w:rPr>
        <w:t>根据《</w:t>
      </w:r>
      <w:r>
        <w:rPr>
          <w:rFonts w:ascii="方正仿宋_GBK" w:hAnsi="宋体" w:eastAsia="方正仿宋_GBK" w:cs="宋体"/>
          <w:color w:val="auto"/>
          <w:kern w:val="0"/>
          <w:sz w:val="24"/>
          <w:szCs w:val="24"/>
        </w:rPr>
        <w:t>中华人民共和国政府采购法实施条例</w:t>
      </w:r>
      <w:r>
        <w:rPr>
          <w:rFonts w:hint="eastAsia" w:ascii="方正仿宋_GBK" w:hAnsi="宋体" w:eastAsia="方正仿宋_GBK" w:cs="宋体"/>
          <w:color w:val="auto"/>
          <w:kern w:val="0"/>
          <w:sz w:val="24"/>
          <w:szCs w:val="24"/>
        </w:rPr>
        <w:t>》第十九条“参加政府采购活动前三年内，在经营活动中没有重大违法记录”中“重大违法记录”</w:t>
      </w:r>
      <w:r>
        <w:rPr>
          <w:rFonts w:ascii="方正仿宋_GBK" w:hAnsi="宋体" w:eastAsia="方正仿宋_GBK" w:cs="宋体"/>
          <w:color w:val="auto"/>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color w:val="auto"/>
          <w:kern w:val="0"/>
          <w:sz w:val="24"/>
          <w:szCs w:val="24"/>
        </w:rPr>
        <w:t>行政处罚中“较大数额”的认定标准，按照“</w:t>
      </w:r>
      <w:r>
        <w:rPr>
          <w:rFonts w:ascii="方正仿宋_GBK" w:hAnsi="宋体" w:eastAsia="方正仿宋_GBK" w:cs="宋体"/>
          <w:color w:val="auto"/>
          <w:kern w:val="0"/>
          <w:sz w:val="24"/>
          <w:szCs w:val="24"/>
        </w:rPr>
        <w:t>财政部关于《中华人民共和国政府采购法实施条例》第十九条第一款“较大数额罚款”具体适用问题的意见</w:t>
      </w:r>
      <w:r>
        <w:rPr>
          <w:rFonts w:hint="eastAsia" w:ascii="方正仿宋_GBK" w:hAnsi="宋体" w:eastAsia="方正仿宋_GBK" w:cs="宋体"/>
          <w:color w:val="auto"/>
          <w:kern w:val="0"/>
          <w:sz w:val="24"/>
          <w:szCs w:val="24"/>
        </w:rPr>
        <w:t>（财库〔2022〕3 号）”执行。供应商可于响应文件递交截止时间前通过 “信用中国”网站(www.creditchina.gov.cn)、"中国政府采购网"(www.ccgp.gov.cn)等渠道查询信用记录。</w:t>
      </w:r>
    </w:p>
    <w:p w14:paraId="70157428">
      <w:pPr>
        <w:snapToGrid w:val="0"/>
        <w:spacing w:line="400" w:lineRule="exact"/>
        <w:ind w:firstLine="480" w:firstLineChars="200"/>
        <w:rPr>
          <w:rFonts w:hint="eastAsia" w:ascii="方正仿宋_GBK" w:hAnsi="宋体" w:eastAsia="方正仿宋_GBK" w:cs="宋体"/>
          <w:color w:val="auto"/>
          <w:kern w:val="0"/>
          <w:sz w:val="24"/>
          <w:szCs w:val="24"/>
        </w:rPr>
      </w:pPr>
      <w:r>
        <w:rPr>
          <w:rFonts w:ascii="方正仿宋_GBK" w:hAnsi="宋体" w:eastAsia="方正仿宋_GBK" w:cs="宋体"/>
          <w:color w:val="auto"/>
          <w:kern w:val="0"/>
          <w:sz w:val="24"/>
          <w:szCs w:val="24"/>
        </w:rPr>
        <w:fldChar w:fldCharType="begin"/>
      </w:r>
      <w:r>
        <w:rPr>
          <w:rFonts w:ascii="方正仿宋_GBK" w:hAnsi="宋体" w:eastAsia="方正仿宋_GBK" w:cs="宋体"/>
          <w:color w:val="auto"/>
          <w:kern w:val="0"/>
          <w:sz w:val="24"/>
          <w:szCs w:val="24"/>
        </w:rPr>
        <w:instrText xml:space="preserve"> </w:instrText>
      </w:r>
      <w:r>
        <w:rPr>
          <w:rFonts w:hint="eastAsia" w:ascii="方正仿宋_GBK" w:hAnsi="宋体" w:eastAsia="方正仿宋_GBK" w:cs="宋体"/>
          <w:color w:val="auto"/>
          <w:kern w:val="0"/>
          <w:sz w:val="24"/>
          <w:szCs w:val="24"/>
        </w:rPr>
        <w:instrText xml:space="preserve">eq \o\ac(○,</w:instrText>
      </w:r>
      <w:r>
        <w:rPr>
          <w:rFonts w:hint="eastAsia" w:ascii="宋体" w:hAnsi="宋体" w:eastAsia="方正仿宋_GBK" w:cs="宋体"/>
          <w:color w:val="auto"/>
          <w:kern w:val="0"/>
          <w:position w:val="3"/>
          <w:sz w:val="16"/>
          <w:szCs w:val="24"/>
        </w:rPr>
        <w:instrText xml:space="preserve">2</w:instrText>
      </w:r>
      <w:r>
        <w:rPr>
          <w:rFonts w:hint="eastAsia" w:ascii="方正仿宋_GBK" w:hAnsi="宋体" w:eastAsia="方正仿宋_GBK" w:cs="宋体"/>
          <w:color w:val="auto"/>
          <w:kern w:val="0"/>
          <w:sz w:val="24"/>
          <w:szCs w:val="24"/>
        </w:rPr>
        <w:instrText xml:space="preserve">)</w:instrText>
      </w:r>
      <w:r>
        <w:rPr>
          <w:rFonts w:ascii="方正仿宋_GBK" w:hAnsi="宋体" w:eastAsia="方正仿宋_GBK" w:cs="宋体"/>
          <w:color w:val="auto"/>
          <w:kern w:val="0"/>
          <w:sz w:val="24"/>
          <w:szCs w:val="24"/>
        </w:rPr>
        <w:fldChar w:fldCharType="end"/>
      </w:r>
      <w:r>
        <w:rPr>
          <w:rFonts w:hint="eastAsia" w:ascii="方正仿宋_GBK" w:hAnsi="宋体" w:eastAsia="方正仿宋_GBK" w:cs="宋体"/>
          <w:color w:val="auto"/>
          <w:kern w:val="0"/>
          <w:sz w:val="24"/>
          <w:szCs w:val="24"/>
        </w:rPr>
        <w:t>以联合体形式参与评分的，共同联合协议中应确定主办方（主体），</w:t>
      </w:r>
      <w:r>
        <w:rPr>
          <w:rFonts w:hint="eastAsia" w:ascii="方正仿宋_GBK" w:hAnsi="宋体" w:eastAsia="方正仿宋_GBK"/>
          <w:color w:val="auto"/>
          <w:sz w:val="24"/>
        </w:rPr>
        <w:t>代表联合体进行磋商和澄清。</w:t>
      </w:r>
      <w:r>
        <w:rPr>
          <w:rFonts w:hint="eastAsia" w:ascii="方正仿宋_GBK" w:hAnsi="宋体" w:eastAsia="方正仿宋_GBK" w:cs="宋体"/>
          <w:color w:val="auto"/>
          <w:kern w:val="0"/>
          <w:sz w:val="24"/>
          <w:szCs w:val="24"/>
        </w:rPr>
        <w:t>联合体各方均应满足供应商资格要求（详见“第一篇”）。</w:t>
      </w:r>
    </w:p>
    <w:p w14:paraId="3A81E2DB">
      <w:pPr>
        <w:snapToGrid w:val="0"/>
        <w:spacing w:line="400" w:lineRule="exact"/>
        <w:ind w:firstLine="480" w:firstLineChars="200"/>
        <w:rPr>
          <w:rFonts w:hint="eastAsia" w:ascii="方正仿宋_GBK" w:eastAsia="方正仿宋_GBK"/>
          <w:color w:val="auto"/>
          <w:kern w:val="0"/>
          <w:sz w:val="24"/>
          <w:szCs w:val="24"/>
        </w:rPr>
      </w:pPr>
      <w:r>
        <w:rPr>
          <w:rFonts w:hint="eastAsia" w:ascii="方正仿宋_GBK" w:hAnsi="宋体" w:eastAsia="方正仿宋_GBK" w:cs="宋体"/>
          <w:color w:val="auto"/>
          <w:kern w:val="0"/>
          <w:sz w:val="24"/>
          <w:szCs w:val="24"/>
        </w:rPr>
        <w:t>2.符合性审查。依据采购文件的规定，从响应文件的有效性、完整性和对采购文件的响应程度进行审查，以确定是否对采购文件的实质性要求作出响应。</w:t>
      </w:r>
      <w:r>
        <w:rPr>
          <w:rFonts w:hint="eastAsia" w:ascii="方正仿宋_GBK" w:eastAsia="方正仿宋_GBK"/>
          <w:color w:val="auto"/>
          <w:kern w:val="0"/>
          <w:sz w:val="24"/>
          <w:szCs w:val="24"/>
        </w:rPr>
        <w:t>符合性审查资料表如下：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026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75506ACA">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3544" w:type="dxa"/>
            <w:gridSpan w:val="2"/>
            <w:noWrap w:val="0"/>
            <w:vAlign w:val="center"/>
          </w:tcPr>
          <w:p w14:paraId="3261BFE0">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评审因素</w:t>
            </w:r>
          </w:p>
        </w:tc>
        <w:tc>
          <w:tcPr>
            <w:tcW w:w="5409" w:type="dxa"/>
            <w:noWrap w:val="0"/>
            <w:vAlign w:val="center"/>
          </w:tcPr>
          <w:p w14:paraId="45F42CE2">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评审标准</w:t>
            </w:r>
          </w:p>
        </w:tc>
      </w:tr>
      <w:tr w14:paraId="7FFA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4D4AC330">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1</w:t>
            </w:r>
          </w:p>
        </w:tc>
        <w:tc>
          <w:tcPr>
            <w:tcW w:w="1560" w:type="dxa"/>
            <w:vMerge w:val="restart"/>
            <w:noWrap w:val="0"/>
            <w:vAlign w:val="center"/>
          </w:tcPr>
          <w:p w14:paraId="3AED968C">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有效性审查</w:t>
            </w:r>
          </w:p>
        </w:tc>
        <w:tc>
          <w:tcPr>
            <w:tcW w:w="1984" w:type="dxa"/>
            <w:noWrap w:val="0"/>
            <w:vAlign w:val="center"/>
          </w:tcPr>
          <w:p w14:paraId="4ADF10DD">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响应文件签署或盖章</w:t>
            </w:r>
          </w:p>
        </w:tc>
        <w:tc>
          <w:tcPr>
            <w:tcW w:w="5409" w:type="dxa"/>
            <w:noWrap w:val="0"/>
            <w:vAlign w:val="center"/>
          </w:tcPr>
          <w:p w14:paraId="0F701E1C">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按限额以下磋商评分文件“第七篇响应文件编制要求”要求签署或盖章。</w:t>
            </w:r>
          </w:p>
        </w:tc>
      </w:tr>
      <w:tr w14:paraId="01F0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024EEFC2">
            <w:pPr>
              <w:jc w:val="center"/>
              <w:rPr>
                <w:rFonts w:hint="eastAsia" w:ascii="方正仿宋_GBK" w:hAnsi="宋体" w:eastAsia="方正仿宋_GBK" w:cs="宋体"/>
                <w:color w:val="auto"/>
                <w:kern w:val="0"/>
                <w:sz w:val="21"/>
                <w:szCs w:val="21"/>
              </w:rPr>
            </w:pPr>
          </w:p>
        </w:tc>
        <w:tc>
          <w:tcPr>
            <w:tcW w:w="1560" w:type="dxa"/>
            <w:vMerge w:val="continue"/>
            <w:noWrap w:val="0"/>
            <w:vAlign w:val="center"/>
          </w:tcPr>
          <w:p w14:paraId="3DC6677B">
            <w:pPr>
              <w:rPr>
                <w:rFonts w:hint="eastAsia" w:ascii="方正仿宋_GBK" w:hAnsi="宋体" w:eastAsia="方正仿宋_GBK" w:cs="宋体"/>
                <w:color w:val="auto"/>
                <w:kern w:val="0"/>
                <w:sz w:val="21"/>
                <w:szCs w:val="21"/>
              </w:rPr>
            </w:pPr>
          </w:p>
        </w:tc>
        <w:tc>
          <w:tcPr>
            <w:tcW w:w="1984" w:type="dxa"/>
            <w:noWrap w:val="0"/>
            <w:vAlign w:val="center"/>
          </w:tcPr>
          <w:p w14:paraId="64342519">
            <w:pPr>
              <w:rPr>
                <w:rFonts w:hint="eastAsia"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w:t>
            </w:r>
          </w:p>
        </w:tc>
        <w:tc>
          <w:tcPr>
            <w:tcW w:w="5409" w:type="dxa"/>
            <w:noWrap w:val="0"/>
            <w:vAlign w:val="center"/>
          </w:tcPr>
          <w:p w14:paraId="22E831FF">
            <w:pPr>
              <w:rPr>
                <w:rFonts w:hint="eastAsia"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法定代表人身份证明及授权委托书有效，符合采购文件规定的格式，签署或盖章齐全。</w:t>
            </w:r>
          </w:p>
        </w:tc>
      </w:tr>
      <w:tr w14:paraId="1C85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54FC731E">
            <w:pPr>
              <w:jc w:val="center"/>
              <w:rPr>
                <w:rFonts w:hint="eastAsia" w:ascii="方正仿宋_GBK" w:hAnsi="宋体" w:eastAsia="方正仿宋_GBK" w:cs="宋体"/>
                <w:color w:val="auto"/>
                <w:kern w:val="0"/>
                <w:sz w:val="21"/>
                <w:szCs w:val="21"/>
              </w:rPr>
            </w:pPr>
          </w:p>
        </w:tc>
        <w:tc>
          <w:tcPr>
            <w:tcW w:w="1560" w:type="dxa"/>
            <w:vMerge w:val="continue"/>
            <w:noWrap w:val="0"/>
            <w:vAlign w:val="center"/>
          </w:tcPr>
          <w:p w14:paraId="6FD42CB1">
            <w:pPr>
              <w:rPr>
                <w:rFonts w:hint="eastAsia" w:ascii="方正仿宋_GBK" w:hAnsi="宋体" w:eastAsia="方正仿宋_GBK" w:cs="宋体"/>
                <w:color w:val="auto"/>
                <w:kern w:val="0"/>
                <w:sz w:val="21"/>
                <w:szCs w:val="21"/>
              </w:rPr>
            </w:pPr>
          </w:p>
        </w:tc>
        <w:tc>
          <w:tcPr>
            <w:tcW w:w="1984" w:type="dxa"/>
            <w:noWrap w:val="0"/>
            <w:vAlign w:val="center"/>
          </w:tcPr>
          <w:p w14:paraId="1D628D3C">
            <w:pPr>
              <w:rPr>
                <w:rFonts w:hint="eastAsia" w:ascii="方正仿宋_GBK" w:hAnsi="宋体" w:eastAsia="方正仿宋_GBK" w:cs="仿宋_GB2312"/>
                <w:color w:val="auto"/>
                <w:sz w:val="21"/>
                <w:szCs w:val="21"/>
                <w:lang w:val="zh-CN"/>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c>
          <w:tcPr>
            <w:tcW w:w="5409" w:type="dxa"/>
            <w:noWrap w:val="0"/>
            <w:vAlign w:val="center"/>
          </w:tcPr>
          <w:p w14:paraId="21E7736A">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lang w:val="zh-CN"/>
              </w:rPr>
              <w:t>每个包只能有一个</w:t>
            </w: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r>
      <w:tr w14:paraId="2BD0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14:paraId="27B697A2">
            <w:pPr>
              <w:jc w:val="center"/>
              <w:rPr>
                <w:rFonts w:hint="eastAsia" w:ascii="方正仿宋_GBK" w:hAnsi="宋体" w:eastAsia="方正仿宋_GBK" w:cs="宋体"/>
                <w:color w:val="auto"/>
                <w:kern w:val="0"/>
                <w:sz w:val="21"/>
                <w:szCs w:val="21"/>
              </w:rPr>
            </w:pPr>
          </w:p>
        </w:tc>
        <w:tc>
          <w:tcPr>
            <w:tcW w:w="1560" w:type="dxa"/>
            <w:vMerge w:val="continue"/>
            <w:noWrap w:val="0"/>
            <w:vAlign w:val="center"/>
          </w:tcPr>
          <w:p w14:paraId="77CCDA70">
            <w:pPr>
              <w:rPr>
                <w:rFonts w:hint="eastAsia" w:ascii="方正仿宋_GBK" w:hAnsi="宋体" w:eastAsia="方正仿宋_GBK" w:cs="宋体"/>
                <w:color w:val="auto"/>
                <w:kern w:val="0"/>
                <w:sz w:val="21"/>
                <w:szCs w:val="21"/>
              </w:rPr>
            </w:pPr>
          </w:p>
        </w:tc>
        <w:tc>
          <w:tcPr>
            <w:tcW w:w="1984" w:type="dxa"/>
            <w:noWrap w:val="0"/>
            <w:vAlign w:val="center"/>
          </w:tcPr>
          <w:p w14:paraId="75A2D816">
            <w:pPr>
              <w:rPr>
                <w:rFonts w:hint="eastAsia" w:ascii="方正仿宋_GBK" w:hAnsi="宋体" w:eastAsia="方正仿宋_GBK" w:cs="仿宋_GB2312"/>
                <w:color w:val="auto"/>
                <w:sz w:val="21"/>
                <w:szCs w:val="21"/>
                <w:lang w:val="zh-CN"/>
              </w:rPr>
            </w:pPr>
            <w:r>
              <w:rPr>
                <w:rFonts w:hint="eastAsia" w:ascii="方正仿宋_GBK" w:hAnsi="宋体" w:eastAsia="方正仿宋_GBK"/>
                <w:color w:val="auto"/>
                <w:sz w:val="21"/>
                <w:szCs w:val="21"/>
              </w:rPr>
              <w:t>报价唯一</w:t>
            </w:r>
          </w:p>
        </w:tc>
        <w:tc>
          <w:tcPr>
            <w:tcW w:w="5409" w:type="dxa"/>
            <w:noWrap w:val="0"/>
            <w:vAlign w:val="center"/>
          </w:tcPr>
          <w:p w14:paraId="00C6488C">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只能有一个有效报价，不得提交选择性报价。</w:t>
            </w:r>
          </w:p>
        </w:tc>
      </w:tr>
      <w:tr w14:paraId="2D18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noWrap w:val="0"/>
            <w:vAlign w:val="center"/>
          </w:tcPr>
          <w:p w14:paraId="1A73E7D1">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2</w:t>
            </w:r>
          </w:p>
        </w:tc>
        <w:tc>
          <w:tcPr>
            <w:tcW w:w="1560" w:type="dxa"/>
            <w:noWrap w:val="0"/>
            <w:vAlign w:val="center"/>
          </w:tcPr>
          <w:p w14:paraId="259AA5E2">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完整性审查</w:t>
            </w:r>
          </w:p>
        </w:tc>
        <w:tc>
          <w:tcPr>
            <w:tcW w:w="1984" w:type="dxa"/>
            <w:noWrap w:val="0"/>
            <w:vAlign w:val="center"/>
          </w:tcPr>
          <w:p w14:paraId="079012DB">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文件份数</w:t>
            </w:r>
          </w:p>
        </w:tc>
        <w:tc>
          <w:tcPr>
            <w:tcW w:w="5409" w:type="dxa"/>
            <w:noWrap w:val="0"/>
            <w:vAlign w:val="center"/>
          </w:tcPr>
          <w:p w14:paraId="1E354D65">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文件正、副本数量符合</w:t>
            </w:r>
            <w:r>
              <w:rPr>
                <w:rFonts w:hint="eastAsia" w:ascii="方正仿宋_GBK" w:hAnsi="宋体" w:eastAsia="方正仿宋_GBK" w:cs="仿宋_GB2312"/>
                <w:color w:val="auto"/>
                <w:sz w:val="21"/>
                <w:szCs w:val="21"/>
              </w:rPr>
              <w:t>竞采购</w:t>
            </w:r>
            <w:r>
              <w:rPr>
                <w:rFonts w:hint="eastAsia" w:ascii="方正仿宋_GBK" w:hAnsi="宋体" w:eastAsia="方正仿宋_GBK" w:cs="仿宋_GB2312"/>
                <w:color w:val="auto"/>
                <w:sz w:val="21"/>
                <w:szCs w:val="21"/>
                <w:lang w:val="zh-CN"/>
              </w:rPr>
              <w:t>文件要求。</w:t>
            </w:r>
          </w:p>
        </w:tc>
      </w:tr>
      <w:tr w14:paraId="2AA3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6C5CD281">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3</w:t>
            </w:r>
          </w:p>
        </w:tc>
        <w:tc>
          <w:tcPr>
            <w:tcW w:w="1560" w:type="dxa"/>
            <w:vMerge w:val="restart"/>
            <w:noWrap w:val="0"/>
            <w:vAlign w:val="center"/>
          </w:tcPr>
          <w:p w14:paraId="0D954E88">
            <w:pPr>
              <w:rPr>
                <w:rFonts w:hint="eastAsia" w:ascii="方正仿宋_GBK" w:hAnsi="宋体" w:eastAsia="方正仿宋_GBK" w:cs="仿宋_GB2312"/>
                <w:color w:val="auto"/>
                <w:sz w:val="21"/>
                <w:szCs w:val="21"/>
                <w:lang w:val="zh-CN"/>
              </w:rPr>
            </w:pPr>
            <w:r>
              <w:rPr>
                <w:rFonts w:hint="eastAsia" w:ascii="方正仿宋_GBK" w:hAnsi="宋体" w:eastAsia="方正仿宋_GBK" w:cs="宋体"/>
                <w:color w:val="auto"/>
                <w:kern w:val="0"/>
                <w:sz w:val="21"/>
                <w:szCs w:val="21"/>
              </w:rPr>
              <w:t>响应程度审查</w:t>
            </w:r>
          </w:p>
        </w:tc>
        <w:tc>
          <w:tcPr>
            <w:tcW w:w="1984" w:type="dxa"/>
            <w:noWrap w:val="0"/>
            <w:vAlign w:val="center"/>
          </w:tcPr>
          <w:p w14:paraId="5E9B63A3">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实质性响应</w:t>
            </w:r>
          </w:p>
        </w:tc>
        <w:tc>
          <w:tcPr>
            <w:tcW w:w="5409" w:type="dxa"/>
            <w:noWrap w:val="0"/>
            <w:vAlign w:val="center"/>
          </w:tcPr>
          <w:p w14:paraId="67BFAD44">
            <w:pPr>
              <w:pStyle w:val="32"/>
              <w:rPr>
                <w:rFonts w:hint="eastAsia" w:ascii="方正仿宋_GBK" w:hAnsi="宋体" w:eastAsia="方正仿宋_GBK" w:cs="宋体"/>
                <w:color w:val="auto"/>
                <w:kern w:val="0"/>
                <w:sz w:val="21"/>
                <w:szCs w:val="21"/>
                <w:lang w:val="en-US" w:eastAsia="zh-CN"/>
              </w:rPr>
            </w:pPr>
            <w:r>
              <w:rPr>
                <w:rFonts w:hint="eastAsia" w:ascii="方正仿宋_GBK" w:hAnsi="宋体" w:eastAsia="方正仿宋_GBK" w:cs="宋体"/>
                <w:color w:val="auto"/>
                <w:kern w:val="0"/>
                <w:sz w:val="21"/>
                <w:szCs w:val="21"/>
                <w:lang w:val="en-US" w:eastAsia="zh-CN"/>
              </w:rPr>
              <w:t>对采购文件第二篇、第三篇规定的内容进行实质性响应。</w:t>
            </w:r>
          </w:p>
        </w:tc>
      </w:tr>
      <w:tr w14:paraId="4ADC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noWrap w:val="0"/>
            <w:vAlign w:val="center"/>
          </w:tcPr>
          <w:p w14:paraId="02D0359C">
            <w:pPr>
              <w:jc w:val="center"/>
              <w:rPr>
                <w:rFonts w:hint="eastAsia" w:ascii="方正仿宋_GBK" w:hAnsi="宋体" w:eastAsia="方正仿宋_GBK" w:cs="宋体"/>
                <w:color w:val="auto"/>
                <w:kern w:val="0"/>
                <w:sz w:val="21"/>
                <w:szCs w:val="21"/>
              </w:rPr>
            </w:pPr>
          </w:p>
        </w:tc>
        <w:tc>
          <w:tcPr>
            <w:tcW w:w="1560" w:type="dxa"/>
            <w:vMerge w:val="continue"/>
            <w:noWrap w:val="0"/>
            <w:vAlign w:val="center"/>
          </w:tcPr>
          <w:p w14:paraId="536CA606">
            <w:pPr>
              <w:rPr>
                <w:rFonts w:hint="eastAsia" w:ascii="方正仿宋_GBK" w:hAnsi="宋体" w:eastAsia="方正仿宋_GBK" w:cs="仿宋_GB2312"/>
                <w:color w:val="auto"/>
                <w:sz w:val="21"/>
                <w:szCs w:val="21"/>
                <w:lang w:val="zh-CN"/>
              </w:rPr>
            </w:pPr>
          </w:p>
        </w:tc>
        <w:tc>
          <w:tcPr>
            <w:tcW w:w="1984" w:type="dxa"/>
            <w:noWrap w:val="0"/>
            <w:vAlign w:val="center"/>
          </w:tcPr>
          <w:p w14:paraId="5BCC7FFA">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响应文件有效期</w:t>
            </w:r>
          </w:p>
        </w:tc>
        <w:tc>
          <w:tcPr>
            <w:tcW w:w="5409" w:type="dxa"/>
            <w:noWrap w:val="0"/>
            <w:vAlign w:val="center"/>
          </w:tcPr>
          <w:p w14:paraId="3B7D4B24">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响应文件及有关承诺文件有效期为提交响应文件截止时间起90天。</w:t>
            </w:r>
          </w:p>
        </w:tc>
      </w:tr>
    </w:tbl>
    <w:p w14:paraId="23F76A71">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澄清有关问题。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63C4BEA">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评审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01979039">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（五）在评审过程中磋商的任何一方不得向他人透露与磋商有关的服务资料、价格或其他信息。</w:t>
      </w:r>
    </w:p>
    <w:p w14:paraId="4D31CA83">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在评审过程中，评审小组可以根据采购文件和磋商情况实质性变动采购需求中的服务、商务要求以及合同草案条款，但不得变动采购文件中的其他内容。实质性变动的内容，须经采购人代表确认。对采购文件作出的实质性变动是采购文件的有效组成部分，评审小组应当及时以书面形式同时通知所有参加的供应商。</w:t>
      </w:r>
    </w:p>
    <w:p w14:paraId="08ACE5AC">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（七）供应商在磋商时作出的所有书面承诺须由法定代表人（或其授权代表）或自然人（供应商为自然人）签署。</w:t>
      </w:r>
    </w:p>
    <w:p w14:paraId="21B5D063">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八）经磋商确定最终采购需求且磋商结束后，供应商应当按照采购文件的变动情况和评审小组的要求重新提交响应文件或重新做出相关的书面承诺，最后书面提交最后报价及有关承诺（《最后报价表》在磋商现场向供应商提供）。</w:t>
      </w:r>
      <w:r>
        <w:rPr>
          <w:rFonts w:ascii="方正仿宋_GBK" w:hAnsi="宋体" w:eastAsia="方正仿宋_GBK"/>
          <w:color w:val="auto"/>
          <w:sz w:val="24"/>
          <w:szCs w:val="24"/>
        </w:rPr>
        <w:t>已提交响应文件</w:t>
      </w:r>
      <w:r>
        <w:rPr>
          <w:rFonts w:hint="eastAsia" w:ascii="方正仿宋_GBK" w:hAnsi="宋体" w:eastAsia="方正仿宋_GBK"/>
          <w:color w:val="auto"/>
          <w:sz w:val="24"/>
          <w:szCs w:val="24"/>
        </w:rPr>
        <w:t>但未在规定时间内进行最后报价</w:t>
      </w:r>
      <w:r>
        <w:rPr>
          <w:rFonts w:ascii="方正仿宋_GBK" w:hAnsi="宋体" w:eastAsia="方正仿宋_GBK"/>
          <w:color w:val="auto"/>
          <w:sz w:val="24"/>
          <w:szCs w:val="24"/>
        </w:rPr>
        <w:t>的供应商，</w:t>
      </w:r>
      <w:r>
        <w:rPr>
          <w:rFonts w:hint="eastAsia" w:ascii="方正仿宋_GBK" w:hAnsi="宋体" w:eastAsia="方正仿宋_GBK"/>
          <w:color w:val="auto"/>
          <w:sz w:val="24"/>
          <w:szCs w:val="24"/>
        </w:rPr>
        <w:t>视为放弃最后报价，以供应商响应文件中的报价为准。</w:t>
      </w:r>
    </w:p>
    <w:p w14:paraId="56EC1B81">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（九）评审小组采用综合评分法对提交最后报价的供应商的响应文件和最后报价（含有效书面承诺）进行综合评分。</w:t>
      </w:r>
      <w:r>
        <w:rPr>
          <w:rFonts w:hint="eastAsia" w:ascii="方正仿宋_GBK" w:hAnsi="宋体" w:eastAsia="方正仿宋_GBK" w:cs="宋体"/>
          <w:color w:val="auto"/>
          <w:kern w:val="0"/>
          <w:sz w:val="24"/>
          <w:szCs w:val="24"/>
        </w:rPr>
        <w:t>综合评分法，是指响应</w:t>
      </w:r>
      <w:r>
        <w:rPr>
          <w:rFonts w:ascii="方正仿宋_GBK" w:hAnsi="宋体" w:eastAsia="方正仿宋_GBK" w:cs="宋体"/>
          <w:color w:val="auto"/>
          <w:kern w:val="0"/>
          <w:sz w:val="24"/>
          <w:szCs w:val="24"/>
        </w:rPr>
        <w:t>文件满足</w:t>
      </w:r>
      <w:r>
        <w:rPr>
          <w:rFonts w:hint="eastAsia" w:ascii="方正仿宋_GBK" w:hAnsi="宋体" w:eastAsia="方正仿宋_GBK" w:cs="宋体"/>
          <w:color w:val="auto"/>
          <w:kern w:val="0"/>
          <w:sz w:val="24"/>
          <w:szCs w:val="24"/>
        </w:rPr>
        <w:t>竞采购</w:t>
      </w:r>
      <w:r>
        <w:rPr>
          <w:rFonts w:ascii="方正仿宋_GBK" w:hAnsi="宋体" w:eastAsia="方正仿宋_GBK" w:cs="宋体"/>
          <w:color w:val="auto"/>
          <w:kern w:val="0"/>
          <w:sz w:val="24"/>
          <w:szCs w:val="24"/>
        </w:rPr>
        <w:t>文件全部实质性要求且按照评审因素的量化指标评审得分最高的供应商为</w:t>
      </w:r>
      <w:r>
        <w:rPr>
          <w:rFonts w:hint="eastAsia" w:ascii="方正仿宋_GBK" w:hAnsi="宋体" w:eastAsia="方正仿宋_GBK" w:cs="宋体"/>
          <w:color w:val="auto"/>
          <w:kern w:val="0"/>
          <w:sz w:val="24"/>
          <w:szCs w:val="24"/>
        </w:rPr>
        <w:t>成交</w:t>
      </w:r>
      <w:r>
        <w:rPr>
          <w:rFonts w:ascii="方正仿宋_GBK" w:hAnsi="宋体" w:eastAsia="方正仿宋_GBK" w:cs="宋体"/>
          <w:color w:val="auto"/>
          <w:kern w:val="0"/>
          <w:sz w:val="24"/>
          <w:szCs w:val="24"/>
        </w:rPr>
        <w:t>候选</w:t>
      </w:r>
      <w:r>
        <w:rPr>
          <w:rFonts w:hint="eastAsia" w:ascii="方正仿宋_GBK" w:hAnsi="宋体" w:eastAsia="方正仿宋_GBK" w:cs="宋体"/>
          <w:color w:val="auto"/>
          <w:kern w:val="0"/>
          <w:sz w:val="24"/>
          <w:szCs w:val="24"/>
        </w:rPr>
        <w:t>供应商</w:t>
      </w:r>
      <w:r>
        <w:rPr>
          <w:rFonts w:ascii="方正仿宋_GBK" w:hAnsi="宋体" w:eastAsia="方正仿宋_GBK" w:cs="宋体"/>
          <w:color w:val="auto"/>
          <w:kern w:val="0"/>
          <w:sz w:val="24"/>
          <w:szCs w:val="24"/>
        </w:rPr>
        <w:t>的</w:t>
      </w:r>
      <w:r>
        <w:rPr>
          <w:rFonts w:hint="eastAsia" w:ascii="方正仿宋_GBK" w:hAnsi="宋体" w:eastAsia="方正仿宋_GBK" w:cs="宋体"/>
          <w:color w:val="auto"/>
          <w:kern w:val="0"/>
          <w:sz w:val="24"/>
          <w:szCs w:val="24"/>
        </w:rPr>
        <w:t>评审</w:t>
      </w:r>
      <w:r>
        <w:rPr>
          <w:rFonts w:ascii="方正仿宋_GBK" w:hAnsi="宋体" w:eastAsia="方正仿宋_GBK" w:cs="宋体"/>
          <w:color w:val="auto"/>
          <w:kern w:val="0"/>
          <w:sz w:val="24"/>
          <w:szCs w:val="24"/>
        </w:rPr>
        <w:t>方法</w:t>
      </w:r>
      <w:r>
        <w:rPr>
          <w:rFonts w:hint="eastAsia" w:ascii="方正仿宋_GBK" w:hAnsi="宋体" w:eastAsia="方正仿宋_GBK" w:cs="宋体"/>
          <w:color w:val="auto"/>
          <w:kern w:val="0"/>
          <w:sz w:val="24"/>
          <w:szCs w:val="24"/>
        </w:rPr>
        <w:t>。供应商总得分为价格、服务、商务等评定因素分别按照相应权重值计算分项得分后相加，满分为100分</w:t>
      </w:r>
      <w:r>
        <w:rPr>
          <w:rFonts w:hint="eastAsia" w:ascii="方正仿宋_GBK" w:hAnsi="宋体" w:eastAsia="方正仿宋_GBK"/>
          <w:color w:val="auto"/>
          <w:sz w:val="24"/>
          <w:szCs w:val="24"/>
        </w:rPr>
        <w:t>。</w:t>
      </w:r>
    </w:p>
    <w:p w14:paraId="7B79B595">
      <w:pPr>
        <w:spacing w:line="400" w:lineRule="exact"/>
        <w:ind w:firstLine="480" w:firstLineChars="200"/>
        <w:rPr>
          <w:rFonts w:hint="eastAsia" w:ascii="方正仿宋_GBK" w:hAnsi="宋体" w:eastAsia="方正仿宋_GBK"/>
          <w:b/>
          <w:color w:val="auto"/>
          <w:sz w:val="24"/>
          <w:szCs w:val="24"/>
        </w:rPr>
      </w:pPr>
      <w:r>
        <w:rPr>
          <w:rFonts w:hint="eastAsia" w:ascii="方正仿宋_GBK" w:hAnsi="宋体" w:eastAsia="方正仿宋_GBK"/>
          <w:color w:val="auto"/>
          <w:sz w:val="24"/>
          <w:szCs w:val="24"/>
        </w:rPr>
        <w:t>（十）评审小组各成员独立对每个有效响应（通过资格性审查、</w:t>
      </w:r>
      <w:r>
        <w:rPr>
          <w:rFonts w:hint="eastAsia" w:ascii="方正仿宋_GBK" w:hAnsi="宋体" w:eastAsia="方正仿宋_GBK" w:cs="宋体"/>
          <w:color w:val="auto"/>
          <w:kern w:val="0"/>
          <w:sz w:val="24"/>
          <w:szCs w:val="24"/>
        </w:rPr>
        <w:t>符合性审查的供应商</w:t>
      </w:r>
      <w:r>
        <w:rPr>
          <w:rFonts w:hint="eastAsia" w:ascii="方正仿宋_GBK" w:hAnsi="宋体" w:eastAsia="方正仿宋_GBK"/>
          <w:color w:val="auto"/>
          <w:sz w:val="24"/>
          <w:szCs w:val="24"/>
        </w:rPr>
        <w:t>）的文件进行评价、打分，然后汇总每个供应商每项评分因素的得分，并根据综合评分情况按照评审得分由高到低顺序推荐3名以上成交候选供应商，并编写结论意见。若供应商的评审得分相同的，按照最后报价由低到高的顺序排列推荐。评审得分且最后报价相同的，按现场随机抽取的方式确定顺序排列。</w:t>
      </w:r>
      <w:r>
        <w:rPr>
          <w:rFonts w:hint="eastAsia" w:ascii="方正仿宋_GBK" w:hAnsi="宋体" w:eastAsia="方正仿宋_GBK"/>
          <w:b/>
          <w:color w:val="auto"/>
          <w:sz w:val="24"/>
          <w:szCs w:val="24"/>
        </w:rPr>
        <w:t>服务部分</w:t>
      </w:r>
      <w:r>
        <w:rPr>
          <w:rFonts w:ascii="方正仿宋_GBK" w:hAnsi="宋体" w:eastAsia="方正仿宋_GBK"/>
          <w:b/>
          <w:color w:val="auto"/>
          <w:sz w:val="24"/>
          <w:szCs w:val="24"/>
        </w:rPr>
        <w:t>得分为</w:t>
      </w:r>
      <w:r>
        <w:rPr>
          <w:rFonts w:hint="eastAsia" w:ascii="方正仿宋_GBK" w:hAnsi="宋体" w:eastAsia="方正仿宋_GBK"/>
          <w:b/>
          <w:color w:val="auto"/>
          <w:sz w:val="24"/>
          <w:szCs w:val="24"/>
        </w:rPr>
        <w:t>0分</w:t>
      </w:r>
      <w:r>
        <w:rPr>
          <w:rFonts w:ascii="方正仿宋_GBK" w:hAnsi="宋体" w:eastAsia="方正仿宋_GBK"/>
          <w:b/>
          <w:color w:val="auto"/>
          <w:sz w:val="24"/>
          <w:szCs w:val="24"/>
        </w:rPr>
        <w:t>的</w:t>
      </w:r>
      <w:r>
        <w:rPr>
          <w:rFonts w:hint="eastAsia" w:ascii="方正仿宋_GBK" w:hAnsi="宋体" w:eastAsia="方正仿宋_GBK"/>
          <w:b/>
          <w:color w:val="auto"/>
          <w:sz w:val="24"/>
          <w:szCs w:val="24"/>
        </w:rPr>
        <w:t>供应商不得推荐</w:t>
      </w:r>
      <w:r>
        <w:rPr>
          <w:rFonts w:ascii="方正仿宋_GBK" w:hAnsi="宋体" w:eastAsia="方正仿宋_GBK"/>
          <w:b/>
          <w:color w:val="auto"/>
          <w:sz w:val="24"/>
          <w:szCs w:val="24"/>
        </w:rPr>
        <w:t>成为</w:t>
      </w:r>
      <w:r>
        <w:rPr>
          <w:rFonts w:hint="eastAsia" w:ascii="方正仿宋_GBK" w:hAnsi="宋体" w:eastAsia="方正仿宋_GBK"/>
          <w:b/>
          <w:color w:val="auto"/>
          <w:sz w:val="24"/>
          <w:szCs w:val="24"/>
        </w:rPr>
        <w:t>成交候选供应商</w:t>
      </w:r>
      <w:r>
        <w:rPr>
          <w:rFonts w:ascii="方正仿宋_GBK" w:hAnsi="宋体" w:eastAsia="方正仿宋_GBK"/>
          <w:b/>
          <w:color w:val="auto"/>
          <w:sz w:val="24"/>
          <w:szCs w:val="24"/>
        </w:rPr>
        <w:t>。</w:t>
      </w:r>
    </w:p>
    <w:p w14:paraId="2ADC9089">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62" w:name="_Toc106030889"/>
      <w:bookmarkStart w:id="63" w:name="_Toc76462334"/>
      <w:r>
        <w:rPr>
          <w:rFonts w:hint="eastAsia" w:ascii="方正仿宋_GBK" w:hAnsi="宋体" w:eastAsia="方正仿宋_GBK"/>
          <w:color w:val="auto"/>
          <w:sz w:val="24"/>
        </w:rPr>
        <w:t>二、</w:t>
      </w:r>
      <w:bookmarkStart w:id="64" w:name="_Toc102227320"/>
      <w:bookmarkStart w:id="65" w:name="_Toc342913394"/>
      <w:r>
        <w:rPr>
          <w:rFonts w:hint="eastAsia" w:ascii="方正仿宋_GBK" w:hAnsi="宋体" w:eastAsia="方正仿宋_GBK"/>
          <w:color w:val="auto"/>
          <w:sz w:val="24"/>
        </w:rPr>
        <w:t>评审标准</w:t>
      </w:r>
      <w:bookmarkEnd w:id="62"/>
      <w:bookmarkEnd w:id="63"/>
    </w:p>
    <w:tbl>
      <w:tblPr>
        <w:tblStyle w:val="58"/>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165"/>
        <w:gridCol w:w="676"/>
        <w:gridCol w:w="4505"/>
        <w:gridCol w:w="2146"/>
      </w:tblGrid>
      <w:tr w14:paraId="3AEF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14:paraId="3C1FCC8D">
            <w:pPr>
              <w:spacing w:after="0" w:line="276" w:lineRule="auto"/>
              <w:ind w:firstLine="28"/>
              <w:jc w:val="center"/>
              <w:rPr>
                <w:rFonts w:hint="eastAsia" w:ascii="宋体" w:hAnsi="宋体" w:eastAsia="宋体" w:cs="宋体"/>
                <w:b/>
                <w:color w:val="auto"/>
                <w:sz w:val="21"/>
                <w:szCs w:val="21"/>
              </w:rPr>
            </w:pPr>
            <w:bookmarkStart w:id="66" w:name="_Toc106030890"/>
            <w:bookmarkStart w:id="67" w:name="_Toc76462335"/>
            <w:r>
              <w:rPr>
                <w:rFonts w:hint="eastAsia" w:ascii="宋体" w:hAnsi="宋体" w:eastAsia="宋体" w:cs="宋体"/>
                <w:b/>
                <w:color w:val="auto"/>
                <w:sz w:val="21"/>
                <w:szCs w:val="21"/>
              </w:rPr>
              <w:t>序号</w:t>
            </w:r>
          </w:p>
        </w:tc>
        <w:tc>
          <w:tcPr>
            <w:tcW w:w="1165" w:type="dxa"/>
            <w:tcBorders>
              <w:top w:val="single" w:color="auto" w:sz="4" w:space="0"/>
              <w:left w:val="single" w:color="auto" w:sz="4" w:space="0"/>
              <w:bottom w:val="single" w:color="auto" w:sz="4" w:space="0"/>
              <w:right w:val="single" w:color="auto" w:sz="4" w:space="0"/>
            </w:tcBorders>
            <w:noWrap w:val="0"/>
            <w:vAlign w:val="center"/>
          </w:tcPr>
          <w:p w14:paraId="1AC96045">
            <w:pPr>
              <w:spacing w:after="0" w:line="276" w:lineRule="auto"/>
              <w:ind w:firstLine="2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评分因素及权值</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6F9722E4">
            <w:pPr>
              <w:spacing w:after="0" w:line="276" w:lineRule="auto"/>
              <w:ind w:firstLine="2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分值</w:t>
            </w:r>
          </w:p>
        </w:tc>
        <w:tc>
          <w:tcPr>
            <w:tcW w:w="4505" w:type="dxa"/>
            <w:tcBorders>
              <w:top w:val="single" w:color="auto" w:sz="4" w:space="0"/>
              <w:left w:val="single" w:color="auto" w:sz="4" w:space="0"/>
              <w:bottom w:val="single" w:color="auto" w:sz="4" w:space="0"/>
              <w:right w:val="single" w:color="auto" w:sz="4" w:space="0"/>
            </w:tcBorders>
            <w:noWrap w:val="0"/>
            <w:vAlign w:val="center"/>
          </w:tcPr>
          <w:p w14:paraId="5DC4CC7C">
            <w:pPr>
              <w:spacing w:after="0" w:line="276" w:lineRule="auto"/>
              <w:ind w:firstLine="2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评分标准</w:t>
            </w:r>
          </w:p>
        </w:tc>
        <w:tc>
          <w:tcPr>
            <w:tcW w:w="2146" w:type="dxa"/>
            <w:tcBorders>
              <w:top w:val="single" w:color="auto" w:sz="4" w:space="0"/>
              <w:left w:val="single" w:color="auto" w:sz="4" w:space="0"/>
              <w:bottom w:val="single" w:color="auto" w:sz="4" w:space="0"/>
              <w:right w:val="single" w:color="auto" w:sz="4" w:space="0"/>
            </w:tcBorders>
            <w:noWrap w:val="0"/>
            <w:vAlign w:val="center"/>
          </w:tcPr>
          <w:p w14:paraId="2FD5DED1">
            <w:pPr>
              <w:pStyle w:val="236"/>
              <w:spacing w:before="0"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14:paraId="1841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14:paraId="3039860B">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65" w:type="dxa"/>
            <w:tcBorders>
              <w:top w:val="single" w:color="auto" w:sz="4" w:space="0"/>
              <w:left w:val="single" w:color="auto" w:sz="4" w:space="0"/>
              <w:bottom w:val="single" w:color="auto" w:sz="4" w:space="0"/>
              <w:right w:val="single" w:color="auto" w:sz="4" w:space="0"/>
            </w:tcBorders>
            <w:noWrap w:val="0"/>
            <w:vAlign w:val="center"/>
          </w:tcPr>
          <w:p w14:paraId="43A0CAED">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报价</w:t>
            </w:r>
          </w:p>
          <w:p w14:paraId="5B92AFE5">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491FE620">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w:t>
            </w:r>
          </w:p>
        </w:tc>
        <w:tc>
          <w:tcPr>
            <w:tcW w:w="4505" w:type="dxa"/>
            <w:tcBorders>
              <w:top w:val="single" w:color="auto" w:sz="4" w:space="0"/>
              <w:left w:val="single" w:color="auto" w:sz="4" w:space="0"/>
              <w:bottom w:val="single" w:color="auto" w:sz="4" w:space="0"/>
              <w:right w:val="single" w:color="auto" w:sz="4" w:space="0"/>
            </w:tcBorders>
            <w:noWrap w:val="0"/>
            <w:vAlign w:val="center"/>
          </w:tcPr>
          <w:p w14:paraId="155880E7">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满足资格性、符合性要求且报价最低的供应商的价格为</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基准价，其价格分为满分。其他供应商的价格分统一按照下列公式计算：</w:t>
            </w:r>
          </w:p>
          <w:p w14:paraId="1065560E">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报价得分=（</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基准价/</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报价）×价格权值×100</w:t>
            </w:r>
          </w:p>
        </w:tc>
        <w:tc>
          <w:tcPr>
            <w:tcW w:w="2146" w:type="dxa"/>
            <w:tcBorders>
              <w:top w:val="single" w:color="auto" w:sz="4" w:space="0"/>
              <w:left w:val="single" w:color="auto" w:sz="4" w:space="0"/>
              <w:bottom w:val="single" w:color="auto" w:sz="4" w:space="0"/>
              <w:right w:val="single" w:color="auto" w:sz="4" w:space="0"/>
            </w:tcBorders>
            <w:noWrap w:val="0"/>
            <w:vAlign w:val="center"/>
          </w:tcPr>
          <w:p w14:paraId="797554E5">
            <w:pPr>
              <w:spacing w:after="0" w:line="276" w:lineRule="auto"/>
              <w:ind w:left="-38"/>
              <w:rPr>
                <w:rFonts w:hint="eastAsia" w:ascii="宋体" w:hAnsi="宋体" w:eastAsia="宋体" w:cs="宋体"/>
                <w:color w:val="auto"/>
                <w:sz w:val="21"/>
                <w:szCs w:val="21"/>
              </w:rPr>
            </w:pPr>
          </w:p>
        </w:tc>
      </w:tr>
      <w:tr w14:paraId="74C2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vMerge w:val="restart"/>
            <w:tcBorders>
              <w:top w:val="single" w:color="auto" w:sz="4" w:space="0"/>
              <w:left w:val="single" w:color="auto" w:sz="4" w:space="0"/>
              <w:right w:val="single" w:color="auto" w:sz="4" w:space="0"/>
            </w:tcBorders>
            <w:noWrap w:val="0"/>
            <w:vAlign w:val="center"/>
          </w:tcPr>
          <w:p w14:paraId="0C071BC7">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65" w:type="dxa"/>
            <w:vMerge w:val="restart"/>
            <w:tcBorders>
              <w:top w:val="single" w:color="auto" w:sz="4" w:space="0"/>
              <w:left w:val="single" w:color="auto" w:sz="4" w:space="0"/>
              <w:right w:val="single" w:color="auto" w:sz="4" w:space="0"/>
            </w:tcBorders>
            <w:noWrap w:val="0"/>
            <w:vAlign w:val="center"/>
          </w:tcPr>
          <w:p w14:paraId="26231C13">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技术部分</w:t>
            </w:r>
          </w:p>
          <w:p w14:paraId="6CA56EF0">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0%）</w:t>
            </w:r>
          </w:p>
        </w:tc>
        <w:tc>
          <w:tcPr>
            <w:tcW w:w="676" w:type="dxa"/>
            <w:tcBorders>
              <w:top w:val="single" w:color="auto" w:sz="4" w:space="0"/>
              <w:left w:val="single" w:color="auto" w:sz="4" w:space="0"/>
              <w:right w:val="single" w:color="auto" w:sz="4" w:space="0"/>
            </w:tcBorders>
            <w:noWrap w:val="0"/>
            <w:vAlign w:val="center"/>
          </w:tcPr>
          <w:p w14:paraId="65075A88">
            <w:pPr>
              <w:spacing w:after="0" w:line="276" w:lineRule="auto"/>
              <w:ind w:firstLine="28"/>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c>
          <w:tcPr>
            <w:tcW w:w="4505" w:type="dxa"/>
            <w:tcBorders>
              <w:top w:val="single" w:color="auto" w:sz="4" w:space="0"/>
              <w:left w:val="single" w:color="auto" w:sz="4" w:space="0"/>
              <w:right w:val="single" w:color="auto" w:sz="4" w:space="0"/>
            </w:tcBorders>
            <w:noWrap w:val="0"/>
            <w:vAlign w:val="center"/>
          </w:tcPr>
          <w:p w14:paraId="249163CE">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技术参数（</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w:t>
            </w:r>
          </w:p>
          <w:p w14:paraId="6C6CE2AF">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有效投标人的起评分为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p>
          <w:p w14:paraId="2130B5B3">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根据供应商对第二篇“二、</w:t>
            </w:r>
            <w:r>
              <w:rPr>
                <w:rFonts w:hint="eastAsia" w:ascii="宋体" w:hAnsi="宋体" w:eastAsia="宋体" w:cs="宋体"/>
                <w:color w:val="auto"/>
                <w:sz w:val="21"/>
                <w:szCs w:val="21"/>
                <w:lang w:val="en-US" w:eastAsia="zh-CN"/>
              </w:rPr>
              <w:t>项目技术参数要求</w:t>
            </w:r>
            <w:r>
              <w:rPr>
                <w:rFonts w:hint="eastAsia" w:ascii="宋体" w:hAnsi="宋体" w:eastAsia="宋体" w:cs="宋体"/>
                <w:color w:val="auto"/>
                <w:sz w:val="21"/>
                <w:szCs w:val="21"/>
              </w:rPr>
              <w:t>”的响应程度评审，通过资格性和符合性审查的供应商按以下标准进行评分：</w:t>
            </w:r>
          </w:p>
          <w:p w14:paraId="64CA8AFE">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（1）重要技术参数【第二篇“二、</w:t>
            </w:r>
            <w:r>
              <w:rPr>
                <w:rFonts w:hint="eastAsia" w:ascii="宋体" w:hAnsi="宋体" w:eastAsia="宋体" w:cs="宋体"/>
                <w:color w:val="auto"/>
                <w:sz w:val="21"/>
                <w:szCs w:val="21"/>
                <w:lang w:val="en-US" w:eastAsia="zh-CN"/>
              </w:rPr>
              <w:t>项目技术参数要求</w:t>
            </w:r>
            <w:r>
              <w:rPr>
                <w:rFonts w:hint="eastAsia" w:ascii="宋体" w:hAnsi="宋体" w:eastAsia="宋体" w:cs="宋体"/>
                <w:color w:val="auto"/>
                <w:sz w:val="21"/>
                <w:szCs w:val="21"/>
              </w:rPr>
              <w:t>”中“★”号标注的条款】每负偏离一条从起评分中扣</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分，扣完为止；</w:t>
            </w:r>
          </w:p>
          <w:p w14:paraId="7BE39CA0">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（2）一般性技术参数【第二篇“二、</w:t>
            </w:r>
            <w:r>
              <w:rPr>
                <w:rFonts w:hint="eastAsia" w:ascii="宋体" w:hAnsi="宋体" w:eastAsia="宋体" w:cs="宋体"/>
                <w:color w:val="auto"/>
                <w:sz w:val="21"/>
                <w:szCs w:val="21"/>
                <w:lang w:val="en-US" w:eastAsia="zh-CN"/>
              </w:rPr>
              <w:t>项目技术参数要求</w:t>
            </w:r>
            <w:r>
              <w:rPr>
                <w:rFonts w:hint="eastAsia" w:ascii="宋体" w:hAnsi="宋体" w:eastAsia="宋体" w:cs="宋体"/>
                <w:color w:val="auto"/>
                <w:sz w:val="21"/>
                <w:szCs w:val="21"/>
              </w:rPr>
              <w:t>”中非“★”号标注的条款】每负偏离一条从起评分中扣除</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分，扣完为止。</w:t>
            </w:r>
          </w:p>
        </w:tc>
        <w:tc>
          <w:tcPr>
            <w:tcW w:w="2146" w:type="dxa"/>
            <w:tcBorders>
              <w:top w:val="single" w:color="auto" w:sz="4" w:space="0"/>
              <w:left w:val="single" w:color="auto" w:sz="4" w:space="0"/>
              <w:right w:val="single" w:color="auto" w:sz="4" w:space="0"/>
            </w:tcBorders>
            <w:noWrap w:val="0"/>
            <w:vAlign w:val="center"/>
          </w:tcPr>
          <w:p w14:paraId="1A33CBE0">
            <w:pPr>
              <w:spacing w:after="0" w:line="276" w:lineRule="auto"/>
              <w:ind w:left="-38"/>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供应商对第二篇“二、</w:t>
            </w:r>
            <w:r>
              <w:rPr>
                <w:rFonts w:hint="eastAsia" w:ascii="宋体" w:hAnsi="宋体" w:eastAsia="宋体" w:cs="宋体"/>
                <w:color w:val="auto"/>
                <w:sz w:val="21"/>
                <w:szCs w:val="21"/>
                <w:lang w:val="en-US" w:eastAsia="zh-CN"/>
              </w:rPr>
              <w:t>项目技术参数要求</w:t>
            </w:r>
            <w:r>
              <w:rPr>
                <w:rFonts w:hint="eastAsia" w:ascii="宋体" w:hAnsi="宋体" w:eastAsia="宋体" w:cs="宋体"/>
                <w:color w:val="auto"/>
                <w:sz w:val="21"/>
                <w:szCs w:val="21"/>
              </w:rPr>
              <w:t>”</w:t>
            </w:r>
            <w:r>
              <w:rPr>
                <w:rFonts w:hint="eastAsia" w:ascii="宋体" w:hAnsi="宋体" w:eastAsia="宋体" w:cs="宋体"/>
                <w:color w:val="auto"/>
                <w:sz w:val="21"/>
                <w:szCs w:val="21"/>
              </w:rPr>
              <w:t>的响应须提供具备CMA、CNAS资质的第三方检测机构出具的产品检测报告（受检单位须为投标供应商或所投产品制造商），检测报告中应体现产品对应技术参数检查结果</w:t>
            </w:r>
            <w:r>
              <w:rPr>
                <w:rFonts w:hint="eastAsia" w:ascii="宋体" w:hAnsi="宋体" w:eastAsia="宋体" w:cs="宋体"/>
                <w:color w:val="auto"/>
                <w:sz w:val="21"/>
                <w:szCs w:val="21"/>
                <w:lang w:eastAsia="zh-CN"/>
              </w:rPr>
              <w:t>。</w:t>
            </w:r>
          </w:p>
        </w:tc>
      </w:tr>
      <w:tr w14:paraId="002C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vMerge w:val="continue"/>
            <w:tcBorders>
              <w:left w:val="single" w:color="auto" w:sz="4" w:space="0"/>
              <w:right w:val="single" w:color="auto" w:sz="4" w:space="0"/>
            </w:tcBorders>
            <w:noWrap w:val="0"/>
            <w:vAlign w:val="center"/>
          </w:tcPr>
          <w:p w14:paraId="269A5A50">
            <w:pPr>
              <w:spacing w:after="0" w:line="276" w:lineRule="auto"/>
              <w:ind w:firstLine="28"/>
              <w:jc w:val="center"/>
              <w:rPr>
                <w:rFonts w:hint="eastAsia" w:ascii="宋体" w:hAnsi="宋体" w:eastAsia="宋体" w:cs="宋体"/>
                <w:color w:val="auto"/>
                <w:sz w:val="21"/>
                <w:szCs w:val="21"/>
              </w:rPr>
            </w:pPr>
          </w:p>
        </w:tc>
        <w:tc>
          <w:tcPr>
            <w:tcW w:w="1165" w:type="dxa"/>
            <w:vMerge w:val="continue"/>
            <w:tcBorders>
              <w:left w:val="single" w:color="auto" w:sz="4" w:space="0"/>
              <w:right w:val="single" w:color="auto" w:sz="4" w:space="0"/>
            </w:tcBorders>
            <w:noWrap w:val="0"/>
            <w:vAlign w:val="center"/>
          </w:tcPr>
          <w:p w14:paraId="220FB7D8">
            <w:pPr>
              <w:spacing w:after="0" w:line="276" w:lineRule="auto"/>
              <w:ind w:firstLine="28"/>
              <w:jc w:val="center"/>
              <w:rPr>
                <w:rFonts w:hint="eastAsia" w:ascii="宋体" w:hAnsi="宋体" w:eastAsia="宋体" w:cs="宋体"/>
                <w:color w:val="auto"/>
                <w:sz w:val="21"/>
                <w:szCs w:val="21"/>
              </w:rPr>
            </w:pPr>
          </w:p>
        </w:tc>
        <w:tc>
          <w:tcPr>
            <w:tcW w:w="676" w:type="dxa"/>
            <w:tcBorders>
              <w:top w:val="single" w:color="auto" w:sz="4" w:space="0"/>
              <w:left w:val="single" w:color="auto" w:sz="4" w:space="0"/>
              <w:right w:val="single" w:color="auto" w:sz="4" w:space="0"/>
            </w:tcBorders>
            <w:noWrap w:val="0"/>
            <w:vAlign w:val="center"/>
          </w:tcPr>
          <w:p w14:paraId="68159F5F">
            <w:pPr>
              <w:spacing w:after="0" w:line="276" w:lineRule="auto"/>
              <w:ind w:firstLine="28"/>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4505" w:type="dxa"/>
            <w:tcBorders>
              <w:top w:val="single" w:color="auto" w:sz="4" w:space="0"/>
              <w:left w:val="single" w:color="auto" w:sz="4" w:space="0"/>
              <w:right w:val="single" w:color="auto" w:sz="4" w:space="0"/>
            </w:tcBorders>
            <w:noWrap w:val="0"/>
            <w:vAlign w:val="center"/>
          </w:tcPr>
          <w:p w14:paraId="5B32E1BB">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样品评审</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p w14:paraId="3A2E1310">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样品设计款式、面料、特有功能性非常符合采购文件技术要求得6分；样品设计款式、面料、特有功能性基本符合采购文件技术要求得3分；样品设计差，款式、面料、特有功能性差得1分；不符合要求不得分。</w:t>
            </w:r>
          </w:p>
          <w:p w14:paraId="2B308C03">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样品标识与服装色彩协调，印制精美、位置正确，不掉色、不褪色得6分；样品标识与服装色彩基本搭配，印制一般、位置基本正确，不掉色、不褪色得3分；样品标识与服装色彩不协调，印制工艺差，易掉色得1分；不符合要求不分。</w:t>
            </w:r>
          </w:p>
          <w:p w14:paraId="30002239">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样品制作工艺精细、整洁美观，服装平服挺括、无烫光、走线顺直、切线均匀、线距合理左右对称得8分；样品制作工艺精细度一般、整洁美观度一般，服装平服基本挺括、无烫光、走线比较顺直、切线比较均匀、线距基本合理左右对称得4分；样品制作工艺粗劣、不够整洁美观，服装平服不挺括、有烫光、走线不顺直、切线不均匀、线距不合理左右不对称得1分；鞋子帮面有裂纹、开胶，鞋底有裂纹，鞋底瘪塌，服装衣领线路不平、纽扣斜歪、衣袋不正、纽扣订线不稳、拉链发涩不顺滑、衣袖、裤脚线路不稳、肩板不平判定为不合格样品，不得分。</w:t>
            </w:r>
          </w:p>
        </w:tc>
        <w:tc>
          <w:tcPr>
            <w:tcW w:w="2146" w:type="dxa"/>
            <w:tcBorders>
              <w:top w:val="single" w:color="auto" w:sz="4" w:space="0"/>
              <w:left w:val="single" w:color="auto" w:sz="4" w:space="0"/>
              <w:right w:val="single" w:color="auto" w:sz="4" w:space="0"/>
            </w:tcBorders>
            <w:noWrap w:val="0"/>
            <w:vAlign w:val="center"/>
          </w:tcPr>
          <w:p w14:paraId="34A5BF2E">
            <w:pPr>
              <w:spacing w:after="0" w:line="276" w:lineRule="auto"/>
              <w:ind w:left="-38"/>
              <w:rPr>
                <w:rFonts w:hint="eastAsia" w:ascii="宋体" w:hAnsi="宋体" w:eastAsia="宋体" w:cs="宋体"/>
                <w:color w:val="auto"/>
                <w:sz w:val="21"/>
                <w:szCs w:val="21"/>
              </w:rPr>
            </w:pPr>
          </w:p>
          <w:p w14:paraId="07896884">
            <w:pPr>
              <w:bidi w:val="0"/>
              <w:rPr>
                <w:rFonts w:hint="eastAsia" w:ascii="宋体" w:hAnsi="宋体" w:eastAsia="宋体" w:cs="宋体"/>
                <w:color w:val="auto"/>
                <w:kern w:val="2"/>
                <w:sz w:val="28"/>
                <w:lang w:val="en-US" w:eastAsia="zh-CN" w:bidi="ar-SA"/>
              </w:rPr>
            </w:pPr>
          </w:p>
          <w:p w14:paraId="6B14E03E">
            <w:pPr>
              <w:bidi w:val="0"/>
              <w:rPr>
                <w:rFonts w:hint="eastAsia" w:ascii="宋体" w:hAnsi="宋体" w:eastAsia="宋体" w:cs="宋体"/>
                <w:color w:val="auto"/>
                <w:lang w:val="en-US" w:eastAsia="zh-CN"/>
              </w:rPr>
            </w:pPr>
          </w:p>
          <w:p w14:paraId="2DA68E74">
            <w:pPr>
              <w:spacing w:after="0" w:line="276"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1.根据供应商提供的样品进行评审,未提供样品或样品提供不齐全的不得分。</w:t>
            </w:r>
          </w:p>
          <w:p w14:paraId="39FFBFD7">
            <w:pPr>
              <w:spacing w:after="0" w:line="276" w:lineRule="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2.样品评审得分是评标委员会各成员评分的算术平均值（保留两位小数）。</w:t>
            </w:r>
          </w:p>
        </w:tc>
      </w:tr>
      <w:tr w14:paraId="2043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vMerge w:val="restart"/>
            <w:tcBorders>
              <w:top w:val="single" w:color="auto" w:sz="4" w:space="0"/>
              <w:left w:val="single" w:color="auto" w:sz="4" w:space="0"/>
              <w:right w:val="single" w:color="auto" w:sz="4" w:space="0"/>
            </w:tcBorders>
            <w:noWrap w:val="0"/>
            <w:vAlign w:val="center"/>
          </w:tcPr>
          <w:p w14:paraId="19B58F1F">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165" w:type="dxa"/>
            <w:vMerge w:val="restart"/>
            <w:tcBorders>
              <w:top w:val="single" w:color="auto" w:sz="4" w:space="0"/>
              <w:left w:val="single" w:color="auto" w:sz="4" w:space="0"/>
              <w:right w:val="single" w:color="auto" w:sz="4" w:space="0"/>
            </w:tcBorders>
            <w:noWrap w:val="0"/>
            <w:vAlign w:val="center"/>
          </w:tcPr>
          <w:p w14:paraId="09176C82">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商务部分</w:t>
            </w:r>
          </w:p>
          <w:p w14:paraId="1CCCAABE">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w:t>
            </w:r>
          </w:p>
        </w:tc>
        <w:tc>
          <w:tcPr>
            <w:tcW w:w="676" w:type="dxa"/>
            <w:tcBorders>
              <w:top w:val="single" w:color="auto" w:sz="4" w:space="0"/>
              <w:left w:val="single" w:color="auto" w:sz="4" w:space="0"/>
              <w:bottom w:val="single" w:color="auto" w:sz="4" w:space="0"/>
              <w:right w:val="single" w:color="auto" w:sz="4" w:space="0"/>
            </w:tcBorders>
            <w:noWrap w:val="0"/>
            <w:vAlign w:val="center"/>
          </w:tcPr>
          <w:p w14:paraId="2F50D0E6">
            <w:pPr>
              <w:spacing w:after="0" w:line="276" w:lineRule="auto"/>
              <w:ind w:firstLine="28"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w:t>
            </w:r>
          </w:p>
        </w:tc>
        <w:tc>
          <w:tcPr>
            <w:tcW w:w="4505" w:type="dxa"/>
            <w:tcBorders>
              <w:top w:val="single" w:color="auto" w:sz="4" w:space="0"/>
              <w:left w:val="single" w:color="auto" w:sz="4" w:space="0"/>
              <w:bottom w:val="single" w:color="auto" w:sz="4" w:space="0"/>
              <w:right w:val="single" w:color="auto" w:sz="4" w:space="0"/>
            </w:tcBorders>
            <w:noWrap w:val="0"/>
            <w:vAlign w:val="center"/>
          </w:tcPr>
          <w:p w14:paraId="32111CF3">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供货方案（</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14:paraId="4CFD0E93">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对供应商的供货交付能力及配送方案，包括货物保证、检验、发货、返修等进行评审: </w:t>
            </w:r>
          </w:p>
          <w:p w14:paraId="1B84A971">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（1）实际交货能力切实可靠，具有特殊尺码应对准备，满足磋商要求得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14:paraId="504DADED">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（2）能够结合项目基本特征，提出有一定针对性的供货方案，能够保障项目基本供货要求得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14:paraId="61814AFC">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（3）不能充分结合项目特征，仅提出基本的供货方案；送货时间可能影响项目供货要求得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p>
          <w:p w14:paraId="57502ED2">
            <w:pPr>
              <w:spacing w:after="0" w:line="276"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（4）未提供得0分。</w:t>
            </w:r>
          </w:p>
        </w:tc>
        <w:tc>
          <w:tcPr>
            <w:tcW w:w="2146" w:type="dxa"/>
            <w:vMerge w:val="restart"/>
            <w:tcBorders>
              <w:top w:val="single" w:color="auto" w:sz="4" w:space="0"/>
              <w:left w:val="single" w:color="auto" w:sz="4" w:space="0"/>
              <w:right w:val="single" w:color="auto" w:sz="4" w:space="0"/>
            </w:tcBorders>
            <w:noWrap w:val="0"/>
            <w:vAlign w:val="center"/>
          </w:tcPr>
          <w:p w14:paraId="03767583">
            <w:pPr>
              <w:spacing w:after="0" w:line="276" w:lineRule="auto"/>
              <w:ind w:left="-38"/>
              <w:rPr>
                <w:rFonts w:hint="eastAsia" w:ascii="宋体" w:hAnsi="宋体" w:eastAsia="宋体" w:cs="宋体"/>
                <w:color w:val="auto"/>
                <w:sz w:val="21"/>
                <w:szCs w:val="21"/>
              </w:rPr>
            </w:pPr>
            <w:r>
              <w:rPr>
                <w:rFonts w:hint="eastAsia" w:ascii="宋体" w:hAnsi="宋体" w:eastAsia="宋体" w:cs="宋体"/>
                <w:color w:val="auto"/>
                <w:sz w:val="21"/>
                <w:szCs w:val="21"/>
              </w:rPr>
              <w:t>1.提供方案，格式自拟，并加盖供应商单位公章。</w:t>
            </w:r>
          </w:p>
          <w:p w14:paraId="0F7F39BE">
            <w:pPr>
              <w:spacing w:after="0" w:line="276" w:lineRule="auto"/>
              <w:ind w:left="-38" w:left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2.方案得分是评标委员会各成员评分的算术平均值（保留两位小数）。</w:t>
            </w:r>
          </w:p>
        </w:tc>
      </w:tr>
      <w:tr w14:paraId="1647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vMerge w:val="continue"/>
            <w:tcBorders>
              <w:left w:val="single" w:color="auto" w:sz="4" w:space="0"/>
              <w:right w:val="single" w:color="auto" w:sz="4" w:space="0"/>
            </w:tcBorders>
            <w:noWrap w:val="0"/>
            <w:vAlign w:val="center"/>
          </w:tcPr>
          <w:p w14:paraId="11C4A595">
            <w:pPr>
              <w:spacing w:after="0" w:line="276" w:lineRule="auto"/>
              <w:ind w:firstLine="28"/>
              <w:jc w:val="center"/>
              <w:rPr>
                <w:rFonts w:hint="eastAsia" w:ascii="宋体" w:hAnsi="宋体" w:eastAsia="宋体" w:cs="宋体"/>
                <w:color w:val="auto"/>
                <w:sz w:val="21"/>
                <w:szCs w:val="21"/>
              </w:rPr>
            </w:pPr>
          </w:p>
        </w:tc>
        <w:tc>
          <w:tcPr>
            <w:tcW w:w="1165" w:type="dxa"/>
            <w:vMerge w:val="continue"/>
            <w:tcBorders>
              <w:left w:val="single" w:color="auto" w:sz="4" w:space="0"/>
              <w:right w:val="single" w:color="auto" w:sz="4" w:space="0"/>
            </w:tcBorders>
            <w:noWrap w:val="0"/>
            <w:vAlign w:val="center"/>
          </w:tcPr>
          <w:p w14:paraId="01041CC2">
            <w:pPr>
              <w:spacing w:after="0" w:line="276" w:lineRule="auto"/>
              <w:ind w:firstLine="28"/>
              <w:jc w:val="center"/>
              <w:rPr>
                <w:rFonts w:hint="eastAsia" w:ascii="宋体" w:hAnsi="宋体" w:eastAsia="宋体" w:cs="宋体"/>
                <w:color w:val="auto"/>
                <w:sz w:val="21"/>
                <w:szCs w:val="21"/>
              </w:rPr>
            </w:pPr>
          </w:p>
        </w:tc>
        <w:tc>
          <w:tcPr>
            <w:tcW w:w="676" w:type="dxa"/>
            <w:tcBorders>
              <w:top w:val="single" w:color="auto" w:sz="4" w:space="0"/>
              <w:left w:val="single" w:color="auto" w:sz="4" w:space="0"/>
              <w:bottom w:val="single" w:color="auto" w:sz="4" w:space="0"/>
              <w:right w:val="single" w:color="auto" w:sz="4" w:space="0"/>
            </w:tcBorders>
            <w:noWrap w:val="0"/>
            <w:vAlign w:val="center"/>
          </w:tcPr>
          <w:p w14:paraId="592146AB">
            <w:pPr>
              <w:spacing w:after="0" w:line="276" w:lineRule="auto"/>
              <w:ind w:firstLine="28"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w:t>
            </w:r>
          </w:p>
        </w:tc>
        <w:tc>
          <w:tcPr>
            <w:tcW w:w="4505" w:type="dxa"/>
            <w:tcBorders>
              <w:top w:val="single" w:color="auto" w:sz="4" w:space="0"/>
              <w:left w:val="single" w:color="auto" w:sz="4" w:space="0"/>
              <w:bottom w:val="single" w:color="auto" w:sz="4" w:space="0"/>
              <w:right w:val="single" w:color="auto" w:sz="4" w:space="0"/>
            </w:tcBorders>
            <w:noWrap w:val="0"/>
            <w:vAlign w:val="center"/>
          </w:tcPr>
          <w:p w14:paraId="72DB708B">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售后服务（</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14:paraId="54E548F3">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供应商结合本项目产品特点及要求提供售后服务方案，编制要点包括但不限于：①售后服务流程②故障响应③解决问题时间④技术培训方案⑤人员技术能力等，根据方案的优劣进行评分：</w:t>
            </w:r>
          </w:p>
          <w:p w14:paraId="266C1F79">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（1）方案要点内容详细，售后服务保证性强，措施及时有效、操作性强，方案可行性强，为优得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14:paraId="218FFEAD">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）方案要点内容较详细，售后服务保证性较强，措施及时有效、操作性较强，方案可行性较强，为良得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14:paraId="0603F22A">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）方案要点内容一般，售后服务保证性一般，措施及时有效性、操作性一般，方案部分可行，为一般得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14:paraId="46961466">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）方案要点内容有较大缺失，售后服务保证性差，措施不及时、操作性差，方案不可行，为差得1分；</w:t>
            </w:r>
          </w:p>
          <w:p w14:paraId="1FF1CA5E">
            <w:pPr>
              <w:spacing w:after="0" w:line="276"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）未提供方案的得0分。</w:t>
            </w:r>
          </w:p>
        </w:tc>
        <w:tc>
          <w:tcPr>
            <w:tcW w:w="2146" w:type="dxa"/>
            <w:vMerge w:val="continue"/>
            <w:tcBorders>
              <w:left w:val="single" w:color="auto" w:sz="4" w:space="0"/>
              <w:bottom w:val="single" w:color="auto" w:sz="4" w:space="0"/>
              <w:right w:val="single" w:color="auto" w:sz="4" w:space="0"/>
            </w:tcBorders>
            <w:noWrap w:val="0"/>
            <w:vAlign w:val="center"/>
          </w:tcPr>
          <w:p w14:paraId="30E8B107">
            <w:pPr>
              <w:spacing w:after="0" w:line="276" w:lineRule="auto"/>
              <w:ind w:left="-38" w:leftChars="0"/>
              <w:rPr>
                <w:rFonts w:hint="eastAsia" w:ascii="宋体" w:hAnsi="宋体" w:eastAsia="宋体" w:cs="宋体"/>
                <w:color w:val="auto"/>
                <w:kern w:val="2"/>
                <w:sz w:val="21"/>
                <w:szCs w:val="21"/>
                <w:lang w:val="en-US" w:eastAsia="zh-CN" w:bidi="ar-SA"/>
              </w:rPr>
            </w:pPr>
          </w:p>
        </w:tc>
      </w:tr>
      <w:tr w14:paraId="64EE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6" w:type="dxa"/>
            <w:vMerge w:val="continue"/>
            <w:tcBorders>
              <w:top w:val="single" w:color="auto" w:sz="4" w:space="0"/>
              <w:left w:val="single" w:color="auto" w:sz="4" w:space="0"/>
              <w:right w:val="single" w:color="auto" w:sz="4" w:space="0"/>
            </w:tcBorders>
            <w:noWrap w:val="0"/>
            <w:vAlign w:val="center"/>
          </w:tcPr>
          <w:p w14:paraId="324BA5CE">
            <w:pPr>
              <w:spacing w:after="0" w:line="276" w:lineRule="auto"/>
              <w:ind w:firstLine="28"/>
              <w:jc w:val="center"/>
              <w:rPr>
                <w:rFonts w:hint="eastAsia" w:ascii="宋体" w:hAnsi="宋体" w:eastAsia="宋体" w:cs="宋体"/>
                <w:color w:val="auto"/>
                <w:sz w:val="21"/>
                <w:szCs w:val="21"/>
              </w:rPr>
            </w:pPr>
          </w:p>
        </w:tc>
        <w:tc>
          <w:tcPr>
            <w:tcW w:w="1165" w:type="dxa"/>
            <w:vMerge w:val="continue"/>
            <w:tcBorders>
              <w:top w:val="single" w:color="auto" w:sz="4" w:space="0"/>
              <w:left w:val="single" w:color="auto" w:sz="4" w:space="0"/>
              <w:right w:val="single" w:color="auto" w:sz="4" w:space="0"/>
            </w:tcBorders>
            <w:noWrap w:val="0"/>
            <w:vAlign w:val="center"/>
          </w:tcPr>
          <w:p w14:paraId="5DCBB56B">
            <w:pPr>
              <w:spacing w:after="0" w:line="276" w:lineRule="auto"/>
              <w:ind w:firstLine="28"/>
              <w:jc w:val="center"/>
              <w:rPr>
                <w:rFonts w:hint="eastAsia" w:ascii="宋体" w:hAnsi="宋体" w:eastAsia="宋体" w:cs="宋体"/>
                <w:color w:val="auto"/>
                <w:sz w:val="21"/>
                <w:szCs w:val="21"/>
              </w:rPr>
            </w:pPr>
          </w:p>
        </w:tc>
        <w:tc>
          <w:tcPr>
            <w:tcW w:w="676" w:type="dxa"/>
            <w:tcBorders>
              <w:top w:val="single" w:color="auto" w:sz="4" w:space="0"/>
              <w:left w:val="single" w:color="auto" w:sz="4" w:space="0"/>
              <w:right w:val="single" w:color="auto" w:sz="4" w:space="0"/>
            </w:tcBorders>
            <w:noWrap w:val="0"/>
            <w:vAlign w:val="center"/>
          </w:tcPr>
          <w:p w14:paraId="63249EE2">
            <w:pPr>
              <w:spacing w:after="0" w:line="276" w:lineRule="auto"/>
              <w:ind w:firstLine="28"/>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4505" w:type="dxa"/>
            <w:tcBorders>
              <w:top w:val="single" w:color="auto" w:sz="4" w:space="0"/>
              <w:left w:val="single" w:color="auto" w:sz="4" w:space="0"/>
              <w:right w:val="single" w:color="auto" w:sz="4" w:space="0"/>
            </w:tcBorders>
            <w:noWrap w:val="0"/>
            <w:vAlign w:val="center"/>
          </w:tcPr>
          <w:p w14:paraId="66C8C9FA">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业绩（10分）</w:t>
            </w:r>
          </w:p>
          <w:p w14:paraId="5122B9CF">
            <w:pPr>
              <w:spacing w:after="0"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供应商自2020年1月1日至今（以合同签订时间为准）具有类似本项目的产品销售业绩，每提供一个业绩得2分，最高得10分。</w:t>
            </w:r>
          </w:p>
        </w:tc>
        <w:tc>
          <w:tcPr>
            <w:tcW w:w="2146" w:type="dxa"/>
            <w:tcBorders>
              <w:top w:val="single" w:color="auto" w:sz="4" w:space="0"/>
              <w:left w:val="single" w:color="auto" w:sz="4" w:space="0"/>
              <w:right w:val="single" w:color="auto" w:sz="4" w:space="0"/>
            </w:tcBorders>
            <w:noWrap w:val="0"/>
            <w:vAlign w:val="center"/>
          </w:tcPr>
          <w:p w14:paraId="41729BE0">
            <w:pPr>
              <w:spacing w:after="0" w:line="276" w:lineRule="auto"/>
              <w:ind w:left="-38"/>
              <w:rPr>
                <w:rFonts w:hint="eastAsia" w:ascii="宋体" w:hAnsi="宋体" w:eastAsia="宋体" w:cs="宋体"/>
                <w:color w:val="auto"/>
                <w:sz w:val="21"/>
                <w:szCs w:val="21"/>
              </w:rPr>
            </w:pPr>
            <w:r>
              <w:rPr>
                <w:rFonts w:hint="eastAsia" w:ascii="宋体" w:hAnsi="宋体" w:eastAsia="宋体" w:cs="宋体"/>
                <w:color w:val="auto"/>
                <w:sz w:val="21"/>
                <w:szCs w:val="21"/>
              </w:rPr>
              <w:t>提供业绩合同复印件，并加盖供应商公章。</w:t>
            </w:r>
          </w:p>
        </w:tc>
      </w:tr>
    </w:tbl>
    <w:p w14:paraId="5CE87F38">
      <w:pPr>
        <w:pStyle w:val="3"/>
        <w:adjustRightInd w:val="0"/>
        <w:snapToGrid w:val="0"/>
        <w:spacing w:before="0" w:after="0" w:line="400" w:lineRule="exact"/>
        <w:ind w:firstLine="480" w:firstLineChars="200"/>
        <w:rPr>
          <w:rFonts w:hint="eastAsia" w:ascii="方正仿宋_GBK" w:hAnsi="宋体" w:eastAsia="方正仿宋_GBK"/>
          <w:color w:val="auto"/>
          <w:sz w:val="24"/>
        </w:rPr>
      </w:pPr>
    </w:p>
    <w:p w14:paraId="07A10373">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三、无效响应</w:t>
      </w:r>
      <w:bookmarkEnd w:id="66"/>
      <w:bookmarkEnd w:id="67"/>
    </w:p>
    <w:p w14:paraId="6CF4A331">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供应商发生以下条款情况之一者，视为无效响应，其响应文件将被拒绝：</w:t>
      </w:r>
    </w:p>
    <w:p w14:paraId="7F1034CD">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（一）供应商不符合规定的资格条件的；</w:t>
      </w:r>
    </w:p>
    <w:p w14:paraId="08D42D60">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（二）供应商的法定代表人（或其授权代表）或自然人未参加磋商；</w:t>
      </w:r>
    </w:p>
    <w:p w14:paraId="2A3C8E82">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（三）供应商所提交的响应文件不按“第七篇响应文件编制要求”要求签署或盖章；</w:t>
      </w:r>
    </w:p>
    <w:p w14:paraId="063C2BCF">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（四）供应商的最后报价超过采购预算或最高限价的；</w:t>
      </w:r>
    </w:p>
    <w:p w14:paraId="7365379C">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（五）法定代表人为同一个人的两个及两个以上法人，母公司、全资子公司及其控股公司，在同一包采购中同时参与竞争；</w:t>
      </w:r>
    </w:p>
    <w:p w14:paraId="3D7A805B">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（六）单位负责人为同一人或者存在直接控股、管理关系的不同供应商，参加同一合同项下的政府采购活动的；</w:t>
      </w:r>
    </w:p>
    <w:p w14:paraId="3AEA20B6">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（七）</w:t>
      </w:r>
      <w:r>
        <w:rPr>
          <w:rFonts w:ascii="方正仿宋_GBK" w:hAnsi="宋体" w:eastAsia="方正仿宋_GBK"/>
          <w:color w:val="auto"/>
          <w:sz w:val="24"/>
          <w:szCs w:val="24"/>
        </w:rPr>
        <w:t>为采购项目提供整体设计、规范编制或者项目管理、监理、检测等服务的供应商，再参加</w:t>
      </w:r>
      <w:r>
        <w:rPr>
          <w:rFonts w:hint="eastAsia" w:ascii="方正仿宋_GBK" w:hAnsi="宋体" w:eastAsia="方正仿宋_GBK"/>
          <w:color w:val="auto"/>
          <w:sz w:val="24"/>
          <w:szCs w:val="24"/>
        </w:rPr>
        <w:t>该采购</w:t>
      </w:r>
      <w:r>
        <w:rPr>
          <w:rFonts w:ascii="方正仿宋_GBK" w:hAnsi="宋体" w:eastAsia="方正仿宋_GBK"/>
          <w:color w:val="auto"/>
          <w:sz w:val="24"/>
          <w:szCs w:val="24"/>
        </w:rPr>
        <w:t>项目的</w:t>
      </w:r>
      <w:r>
        <w:rPr>
          <w:rFonts w:hint="eastAsia" w:ascii="方正仿宋_GBK" w:hAnsi="宋体" w:eastAsia="方正仿宋_GBK"/>
          <w:color w:val="auto"/>
          <w:sz w:val="24"/>
          <w:szCs w:val="24"/>
        </w:rPr>
        <w:t>其他</w:t>
      </w:r>
      <w:r>
        <w:rPr>
          <w:rFonts w:ascii="方正仿宋_GBK" w:hAnsi="宋体" w:eastAsia="方正仿宋_GBK"/>
          <w:color w:val="auto"/>
          <w:sz w:val="24"/>
          <w:szCs w:val="24"/>
        </w:rPr>
        <w:t>采购活动</w:t>
      </w:r>
      <w:r>
        <w:rPr>
          <w:rFonts w:hint="eastAsia" w:ascii="方正仿宋_GBK" w:hAnsi="宋体" w:eastAsia="方正仿宋_GBK"/>
          <w:color w:val="auto"/>
          <w:sz w:val="24"/>
          <w:szCs w:val="24"/>
        </w:rPr>
        <w:t>；</w:t>
      </w:r>
    </w:p>
    <w:p w14:paraId="7E529BC8">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（八）供应商限额以下磋商评分有效期不满足采购文件要求的；</w:t>
      </w:r>
    </w:p>
    <w:p w14:paraId="3E74DA4E">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（九）供应商响应文件内容有与国家现行法律法规相违背的内容，或附有采购人无法接受的条件；</w:t>
      </w:r>
    </w:p>
    <w:p w14:paraId="0A0992A7">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（十）法律、法规和采购文件规定的其他无效情形。</w:t>
      </w:r>
    </w:p>
    <w:p w14:paraId="69E681F1">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68" w:name="_Toc76462336"/>
      <w:bookmarkStart w:id="69" w:name="_Toc106030891"/>
      <w:r>
        <w:rPr>
          <w:rFonts w:hint="eastAsia" w:ascii="方正仿宋_GBK" w:hAnsi="宋体" w:eastAsia="方正仿宋_GBK"/>
          <w:color w:val="auto"/>
          <w:sz w:val="24"/>
        </w:rPr>
        <w:t>四、</w:t>
      </w:r>
      <w:bookmarkEnd w:id="64"/>
      <w:bookmarkEnd w:id="65"/>
      <w:r>
        <w:rPr>
          <w:rFonts w:hint="eastAsia" w:ascii="方正仿宋_GBK" w:hAnsi="宋体" w:eastAsia="方正仿宋_GBK"/>
          <w:color w:val="auto"/>
          <w:sz w:val="24"/>
        </w:rPr>
        <w:t>采购终止</w:t>
      </w:r>
      <w:bookmarkEnd w:id="68"/>
      <w:bookmarkEnd w:id="69"/>
    </w:p>
    <w:p w14:paraId="13FC6943">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出现下列情形之一的，采购人或者采购代理机构应当终止采购活动，发布项目终止公告并说明原因，重新开展采购活动：</w:t>
      </w:r>
    </w:p>
    <w:p w14:paraId="79F615DE">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（一）因情况变化，不再符合规定的限额以下磋商评分采购方式适用情形的；</w:t>
      </w:r>
    </w:p>
    <w:p w14:paraId="712B788A">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（二）出现影响采购公正的违法、违规行为的；</w:t>
      </w:r>
    </w:p>
    <w:p w14:paraId="2D2B50CD">
      <w:pPr>
        <w:snapToGrid w:val="0"/>
        <w:spacing w:line="400" w:lineRule="exact"/>
        <w:ind w:firstLine="465"/>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项目首次采购过程中，符合竞争要求的供应商或者报价未超过采购预算的供应商不足3家的。但重新采购的供应商仍然少于三个的，按照本采购文件规定的标准、程序开标和评标，经评审有有效供应商的，应当确定成交供应商。</w:t>
      </w:r>
    </w:p>
    <w:p w14:paraId="6A995E47">
      <w:pPr>
        <w:spacing w:line="400" w:lineRule="exact"/>
        <w:ind w:firstLine="480" w:firstLineChars="200"/>
        <w:rPr>
          <w:rFonts w:ascii="宋体" w:hAnsi="宋体"/>
          <w:color w:val="auto"/>
          <w:sz w:val="24"/>
          <w:szCs w:val="24"/>
        </w:rPr>
        <w:sectPr>
          <w:pgSz w:w="11907" w:h="16840"/>
          <w:pgMar w:top="1134" w:right="1191" w:bottom="1134" w:left="1304" w:header="964" w:footer="992" w:gutter="0"/>
          <w:pgNumType w:fmt="numberInDash"/>
          <w:cols w:space="720" w:num="1"/>
          <w:docGrid w:linePitch="312" w:charSpace="0"/>
        </w:sectPr>
      </w:pPr>
    </w:p>
    <w:p w14:paraId="3595BD7B">
      <w:pPr>
        <w:pStyle w:val="3"/>
        <w:pageBreakBefore/>
        <w:spacing w:before="0" w:after="0" w:line="360" w:lineRule="auto"/>
        <w:jc w:val="center"/>
        <w:rPr>
          <w:rFonts w:hint="eastAsia" w:ascii="方正小标宋_GBK" w:hAnsi="宋体" w:eastAsia="方正小标宋_GBK"/>
          <w:b w:val="0"/>
          <w:bCs/>
          <w:color w:val="auto"/>
          <w:sz w:val="36"/>
          <w:szCs w:val="30"/>
        </w:rPr>
      </w:pPr>
      <w:bookmarkStart w:id="70" w:name="_Toc102227313"/>
      <w:bookmarkStart w:id="71" w:name="_Toc106030892"/>
      <w:bookmarkStart w:id="72" w:name="_Toc76462337"/>
      <w:r>
        <w:rPr>
          <w:rFonts w:hint="eastAsia" w:ascii="方正小标宋_GBK" w:hAnsi="宋体" w:eastAsia="方正小标宋_GBK"/>
          <w:b w:val="0"/>
          <w:bCs/>
          <w:color w:val="auto"/>
          <w:sz w:val="36"/>
          <w:szCs w:val="30"/>
        </w:rPr>
        <w:t>第五篇  供应商须知</w:t>
      </w:r>
      <w:bookmarkEnd w:id="70"/>
      <w:bookmarkEnd w:id="71"/>
      <w:bookmarkEnd w:id="72"/>
    </w:p>
    <w:p w14:paraId="4727E590">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73" w:name="_Toc76462338"/>
      <w:bookmarkStart w:id="74" w:name="_Toc342913389"/>
      <w:bookmarkStart w:id="75" w:name="_Toc106030893"/>
      <w:r>
        <w:rPr>
          <w:rFonts w:hint="eastAsia" w:ascii="方正仿宋_GBK" w:hAnsi="宋体" w:eastAsia="方正仿宋_GBK"/>
          <w:color w:val="auto"/>
          <w:sz w:val="24"/>
        </w:rPr>
        <w:t>一、</w:t>
      </w:r>
      <w:r>
        <w:rPr>
          <w:rFonts w:hint="eastAsia" w:ascii="方正仿宋_GBK" w:hAnsi="宋体" w:eastAsia="方正仿宋_GBK"/>
          <w:color w:val="auto"/>
          <w:sz w:val="24"/>
          <w:lang w:eastAsia="zh-CN"/>
        </w:rPr>
        <w:t>限额以下磋商评分</w:t>
      </w:r>
      <w:r>
        <w:rPr>
          <w:rFonts w:hint="eastAsia" w:ascii="方正仿宋_GBK" w:hAnsi="宋体" w:eastAsia="方正仿宋_GBK"/>
          <w:color w:val="auto"/>
          <w:sz w:val="24"/>
        </w:rPr>
        <w:t>费用</w:t>
      </w:r>
      <w:bookmarkEnd w:id="73"/>
      <w:bookmarkEnd w:id="74"/>
      <w:bookmarkEnd w:id="75"/>
    </w:p>
    <w:p w14:paraId="237EEB4A">
      <w:pPr>
        <w:pStyle w:val="141"/>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参与竞争的供应商应承担其编制响应文件与递交响应文件所涉及的一切费用，不论结果如何，采购人和采购代理机构在任何情况下无义务也无责任承担这些费用。</w:t>
      </w:r>
    </w:p>
    <w:p w14:paraId="34394B2C">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76" w:name="_Toc342913391"/>
      <w:bookmarkStart w:id="77" w:name="_Toc106030894"/>
      <w:bookmarkStart w:id="78" w:name="_Toc76462339"/>
      <w:r>
        <w:rPr>
          <w:rFonts w:hint="eastAsia" w:ascii="方正仿宋_GBK" w:hAnsi="宋体" w:eastAsia="方正仿宋_GBK"/>
          <w:color w:val="auto"/>
          <w:sz w:val="24"/>
        </w:rPr>
        <w:t>二、限额以下磋商评分文件</w:t>
      </w:r>
      <w:bookmarkEnd w:id="76"/>
      <w:bookmarkEnd w:id="77"/>
      <w:bookmarkEnd w:id="78"/>
    </w:p>
    <w:p w14:paraId="3FAB46BA">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（一）限额以下磋商评分文件由采购邀请书、项目服务需求、项目商务需求、评分程序及方法、评审标准、无效响应和采购终止、供应商须知、政府采购合同</w:t>
      </w:r>
      <w:r>
        <w:rPr>
          <w:rFonts w:hint="eastAsia" w:ascii="方正仿宋_GBK" w:hAnsi="宋体" w:eastAsia="方正仿宋_GBK"/>
          <w:b/>
          <w:color w:val="auto"/>
          <w:sz w:val="24"/>
          <w:szCs w:val="24"/>
        </w:rPr>
        <w:t>、</w:t>
      </w:r>
      <w:r>
        <w:rPr>
          <w:rFonts w:hint="eastAsia" w:ascii="方正仿宋_GBK" w:hAnsi="宋体" w:eastAsia="方正仿宋_GBK"/>
          <w:color w:val="auto"/>
          <w:sz w:val="24"/>
          <w:szCs w:val="24"/>
        </w:rPr>
        <w:t>响应文件编制要求七部分组成。</w:t>
      </w:r>
    </w:p>
    <w:p w14:paraId="1762408F">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（二）采购人（或采购代理机构）所作的一切有效的书面通知、修改及补充，都是采购文件不可分割的部分。</w:t>
      </w:r>
    </w:p>
    <w:p w14:paraId="3D96BBEB">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（三）限额以下磋商评分文件的解释</w:t>
      </w:r>
    </w:p>
    <w:p w14:paraId="28DBE4C5">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如对限额以下磋商评分文件有疑问，必须以书面形式在提交响应文件截止时间前向采购人（或采购代理机构）要求澄清，采购人（或采购代理机构）可视具体情况做出处理或答复。如供应商未提出疑问，视为完全理解并同意本限额以下磋商评分文件。一经进入评审程序，即视为供应商已详细阅读全部文件资料，完全理解限额以下磋商评分文件所有条款内容并同意放弃对这方面有不明白及误解的权利。</w:t>
      </w:r>
      <w:bookmarkStart w:id="79" w:name="_Toc318159780"/>
      <w:bookmarkStart w:id="80" w:name="_Toc318159349"/>
      <w:bookmarkStart w:id="81" w:name="_Toc318166429"/>
      <w:bookmarkStart w:id="82" w:name="_Toc318159160"/>
    </w:p>
    <w:p w14:paraId="65FC61A8">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（四）本限额以下磋商评分文件中，评审小组根据与供应商进行磋商可能实质性变动的内容为限额以下磋商评分文件第二、三、六篇全部内容。</w:t>
      </w:r>
    </w:p>
    <w:p w14:paraId="1BDFE3CC">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（五）评审的依据为限额以下磋商评分文件和响应文件（含有效的书面承诺）。评审小组判断响应文件对限额以下磋商评分文件的响应，仅基于响应文件本身而不靠外部证据。</w:t>
      </w:r>
    </w:p>
    <w:bookmarkEnd w:id="79"/>
    <w:bookmarkEnd w:id="80"/>
    <w:bookmarkEnd w:id="81"/>
    <w:bookmarkEnd w:id="82"/>
    <w:p w14:paraId="7997A671">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83" w:name="_Toc179714297"/>
      <w:bookmarkStart w:id="84" w:name="_Toc102227318"/>
      <w:bookmarkStart w:id="85" w:name="_Toc342913392"/>
      <w:bookmarkStart w:id="86" w:name="_Toc76462340"/>
      <w:bookmarkStart w:id="87" w:name="_Toc106030895"/>
      <w:r>
        <w:rPr>
          <w:rFonts w:hint="eastAsia" w:ascii="方正仿宋_GBK" w:hAnsi="宋体" w:eastAsia="方正仿宋_GBK"/>
          <w:color w:val="auto"/>
          <w:sz w:val="24"/>
        </w:rPr>
        <w:t>三、</w:t>
      </w:r>
      <w:r>
        <w:rPr>
          <w:rFonts w:hint="eastAsia" w:ascii="方正仿宋_GBK" w:hAnsi="宋体" w:eastAsia="方正仿宋_GBK"/>
          <w:color w:val="auto"/>
          <w:sz w:val="24"/>
          <w:lang w:eastAsia="zh-CN"/>
        </w:rPr>
        <w:t>限额以下磋商评分</w:t>
      </w:r>
      <w:r>
        <w:rPr>
          <w:rFonts w:hint="eastAsia" w:ascii="方正仿宋_GBK" w:hAnsi="宋体" w:eastAsia="方正仿宋_GBK"/>
          <w:color w:val="auto"/>
          <w:sz w:val="24"/>
        </w:rPr>
        <w:t>要求</w:t>
      </w:r>
      <w:bookmarkEnd w:id="83"/>
      <w:bookmarkEnd w:id="84"/>
      <w:bookmarkEnd w:id="85"/>
      <w:bookmarkEnd w:id="86"/>
      <w:bookmarkEnd w:id="87"/>
    </w:p>
    <w:p w14:paraId="57F1A906">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（一）响应文件</w:t>
      </w:r>
    </w:p>
    <w:p w14:paraId="7A15775F">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1.供应商应当按照采购文件的要求编制响应文件，并对采购文件提出的要求和条件作出实质性响应，响应文件原则上应装订成册提交，同时应编制完整的页码、目录。</w:t>
      </w:r>
    </w:p>
    <w:p w14:paraId="22C9CF8F">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2.响应文件组成</w:t>
      </w:r>
    </w:p>
    <w:p w14:paraId="63FACBCA">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54ECFF6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（二）联合体</w:t>
      </w:r>
    </w:p>
    <w:p w14:paraId="64F64D23">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1.两个以上供应商可以组成一个联合体，以一个供应商的身份共同参与竞争。</w:t>
      </w:r>
    </w:p>
    <w:p w14:paraId="0FECF73D">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2.以联合体形式参加竞争的，联合体各方均应满足</w:t>
      </w:r>
      <w:r>
        <w:rPr>
          <w:rFonts w:hint="eastAsia" w:ascii="方正仿宋_GBK" w:eastAsia="方正仿宋_GBK"/>
          <w:color w:val="auto"/>
          <w:sz w:val="24"/>
          <w:szCs w:val="24"/>
        </w:rPr>
        <w:t>供应商资格条件</w:t>
      </w:r>
      <w:r>
        <w:rPr>
          <w:rFonts w:hint="eastAsia" w:ascii="方正仿宋_GBK" w:hAnsi="宋体" w:eastAsia="方正仿宋_GBK"/>
          <w:color w:val="auto"/>
          <w:sz w:val="24"/>
          <w:szCs w:val="24"/>
        </w:rPr>
        <w:t>（详见“第一篇”）</w:t>
      </w:r>
      <w:r>
        <w:rPr>
          <w:rFonts w:ascii="方正仿宋_GBK" w:hAnsi="宋体" w:eastAsia="方正仿宋_GBK"/>
          <w:color w:val="auto"/>
          <w:sz w:val="24"/>
        </w:rPr>
        <w:t>联合体中有同类资质的供应商按照联合体分工承担相同工作的，应当按照资质等级较低的供应商确定资质等级。</w:t>
      </w:r>
    </w:p>
    <w:p w14:paraId="6EFCDE81">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联合体各方之间应当签订共同联合协议，共同联合协议中应确定主办方（主体），代表联合体进行磋商和澄清。共同联合协议应明确约定联合体各方承担的工作和相应的责任及协议合同金额，并将共同联合协议连同响应文件一并提交采购人和采购代理机构。</w:t>
      </w:r>
    </w:p>
    <w:p w14:paraId="3927985C">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4.</w:t>
      </w:r>
      <w:r>
        <w:rPr>
          <w:rFonts w:ascii="方正仿宋_GBK" w:hAnsi="宋体" w:eastAsia="方正仿宋_GBK"/>
          <w:color w:val="auto"/>
          <w:sz w:val="24"/>
        </w:rPr>
        <w:t>以联合体形式参加政府采购活动的，联合体各方不得再单独参加或者与其他供应商另外组成联合体参加同一合同项下的政府采购活动。</w:t>
      </w:r>
    </w:p>
    <w:p w14:paraId="660032E8">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5.联合体业绩计算，按照共同联合协议分工认定。</w:t>
      </w:r>
    </w:p>
    <w:p w14:paraId="65AD739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6.</w:t>
      </w:r>
      <w:r>
        <w:rPr>
          <w:rFonts w:ascii="方正仿宋_GBK" w:hAnsi="宋体" w:eastAsia="方正仿宋_GBK"/>
          <w:color w:val="auto"/>
          <w:sz w:val="24"/>
          <w:szCs w:val="24"/>
        </w:rPr>
        <w:t>两个以上的自然人、法人或者其他组织组成一个联合体，以一个供应商的身份共同参加政府采购活动的，联合体成员存在不良信用记录的，视同联合体存在不良信用记录</w:t>
      </w:r>
      <w:r>
        <w:rPr>
          <w:rFonts w:hint="eastAsia" w:ascii="方正仿宋_GBK" w:hAnsi="宋体" w:eastAsia="方正仿宋_GBK"/>
          <w:color w:val="auto"/>
          <w:sz w:val="24"/>
          <w:szCs w:val="24"/>
        </w:rPr>
        <w:t>，将</w:t>
      </w:r>
      <w:r>
        <w:rPr>
          <w:rFonts w:ascii="方正仿宋_GBK" w:hAnsi="宋体" w:eastAsia="方正仿宋_GBK"/>
          <w:color w:val="auto"/>
          <w:sz w:val="24"/>
          <w:szCs w:val="24"/>
        </w:rPr>
        <w:t>拒绝</w:t>
      </w:r>
      <w:r>
        <w:rPr>
          <w:rFonts w:hint="eastAsia" w:ascii="方正仿宋_GBK" w:hAnsi="宋体" w:eastAsia="方正仿宋_GBK"/>
          <w:color w:val="auto"/>
          <w:sz w:val="24"/>
          <w:szCs w:val="24"/>
        </w:rPr>
        <w:t>该联合体</w:t>
      </w:r>
      <w:r>
        <w:rPr>
          <w:rFonts w:ascii="方正仿宋_GBK" w:hAnsi="宋体" w:eastAsia="方正仿宋_GBK"/>
          <w:color w:val="auto"/>
          <w:sz w:val="24"/>
          <w:szCs w:val="24"/>
        </w:rPr>
        <w:t>参与政府采购活动。</w:t>
      </w:r>
    </w:p>
    <w:p w14:paraId="687378F8">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（三）限额以下磋商评分有效期：响应文件及有关承诺文件有效期为提交响应文件截止时间起90天。</w:t>
      </w:r>
    </w:p>
    <w:p w14:paraId="002D2E7F">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（四）修正错误</w:t>
      </w:r>
    </w:p>
    <w:p w14:paraId="6289F9C2">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1.若供应商所递交的响应文件或最后报价中的价格出现大写金额和小写金额不一致的错误，以大写金额修正为准。</w:t>
      </w:r>
    </w:p>
    <w:p w14:paraId="158F120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0CDD2E0E">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（五）提交响应文件的份数和签署</w:t>
      </w:r>
    </w:p>
    <w:p w14:paraId="70F2EC91">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1.响应文件一式</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份，其中正本一份，副本</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份，副本可为正本的复印件，应与正本一致，如出现不一致情况以正本为准。</w:t>
      </w:r>
    </w:p>
    <w:p w14:paraId="130FA5CA">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olor w:val="auto"/>
          <w:sz w:val="24"/>
        </w:rPr>
        <w:t>响应文件按采购文件“第七篇响应文件编制要求”要求签署或盖章。</w:t>
      </w:r>
    </w:p>
    <w:p w14:paraId="4C96129A">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（六）响应文件的递交</w:t>
      </w:r>
    </w:p>
    <w:p w14:paraId="618253CE">
      <w:pPr>
        <w:pStyle w:val="3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响应文件的正本、副本均应密封送达限额以下磋商评分地点，应在封套上注明限额以下磋商评分项目名称、供应商名称。若正本、副本分别进行密封的，还应在封套上注明“正本”、“副本”字样。</w:t>
      </w:r>
    </w:p>
    <w:p w14:paraId="47C0CB1A">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（七）供应商参与人员</w:t>
      </w:r>
    </w:p>
    <w:p w14:paraId="480D0295">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各个供应商应当派1-2名代表参与磋商，至少1人应为法定代表人（或其授权代表）或自然人（供应商为自然人）。</w:t>
      </w:r>
    </w:p>
    <w:p w14:paraId="60EDC4BD">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88" w:name="_Toc106030896"/>
      <w:bookmarkStart w:id="89" w:name="_Toc76462341"/>
      <w:r>
        <w:rPr>
          <w:rFonts w:hint="eastAsia" w:ascii="方正仿宋_GBK" w:hAnsi="宋体" w:eastAsia="方正仿宋_GBK"/>
          <w:color w:val="auto"/>
          <w:sz w:val="24"/>
        </w:rPr>
        <w:t>四、成交供应商的确认和变更</w:t>
      </w:r>
      <w:bookmarkEnd w:id="88"/>
      <w:bookmarkEnd w:id="89"/>
    </w:p>
    <w:p w14:paraId="0EE3B24F">
      <w:pPr>
        <w:snapToGrid w:val="0"/>
        <w:spacing w:line="400" w:lineRule="exact"/>
        <w:ind w:firstLine="480" w:firstLineChars="20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（一）成交供应商的确认</w:t>
      </w:r>
    </w:p>
    <w:p w14:paraId="1D2BF209">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采购结果</w:t>
      </w:r>
      <w:r>
        <w:rPr>
          <w:rFonts w:ascii="方正仿宋_GBK" w:hAnsi="宋体" w:eastAsia="方正仿宋_GBK"/>
          <w:color w:val="auto"/>
          <w:sz w:val="24"/>
          <w:szCs w:val="24"/>
        </w:rPr>
        <w:t>应当在评审结束后</w:t>
      </w:r>
      <w:r>
        <w:rPr>
          <w:rFonts w:hint="eastAsia" w:ascii="方正仿宋_GBK" w:hAnsi="宋体" w:eastAsia="方正仿宋_GBK"/>
          <w:color w:val="auto"/>
          <w:sz w:val="24"/>
          <w:szCs w:val="24"/>
        </w:rPr>
        <w:t>5</w:t>
      </w:r>
      <w:r>
        <w:rPr>
          <w:rFonts w:ascii="方正仿宋_GBK" w:hAnsi="宋体" w:eastAsia="方正仿宋_GBK"/>
          <w:color w:val="auto"/>
          <w:sz w:val="24"/>
          <w:szCs w:val="24"/>
        </w:rPr>
        <w:t>个工作日内</w:t>
      </w:r>
      <w:r>
        <w:rPr>
          <w:rFonts w:hint="eastAsia" w:ascii="方正仿宋_GBK" w:hAnsi="宋体" w:eastAsia="方正仿宋_GBK"/>
          <w:color w:val="auto"/>
          <w:sz w:val="24"/>
          <w:szCs w:val="24"/>
        </w:rPr>
        <w:t>发布</w:t>
      </w:r>
      <w:r>
        <w:rPr>
          <w:rFonts w:ascii="方正仿宋_GBK" w:hAnsi="宋体" w:eastAsia="方正仿宋_GBK"/>
          <w:color w:val="auto"/>
          <w:sz w:val="24"/>
          <w:szCs w:val="24"/>
        </w:rPr>
        <w:t>。采购人应当</w:t>
      </w:r>
      <w:r>
        <w:rPr>
          <w:rFonts w:hint="eastAsia" w:ascii="方正仿宋_GBK" w:hAnsi="宋体" w:eastAsia="方正仿宋_GBK"/>
          <w:color w:val="auto"/>
          <w:sz w:val="24"/>
          <w:szCs w:val="24"/>
        </w:rPr>
        <w:t>从评审结论意见提出的成交候选供应商中，按照排序由高到低的原则确定成交供应商。采购人逾期未确定成交供应商且不提出异议的，视为确定评审结论意见提出的排序第一的供应商为成交供应商。</w:t>
      </w:r>
    </w:p>
    <w:p w14:paraId="5C827802">
      <w:pPr>
        <w:snapToGrid w:val="0"/>
        <w:spacing w:line="400" w:lineRule="exact"/>
        <w:ind w:firstLine="480" w:firstLineChars="20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（二）成交供应商的变更</w:t>
      </w:r>
    </w:p>
    <w:p w14:paraId="6A91891F">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eastAsia="方正仿宋_GBK"/>
          <w:color w:val="auto"/>
          <w:sz w:val="24"/>
        </w:rPr>
        <w:t>成交供应商拒绝与采购人签订合同的，采购人可以按照评审意见推荐的成交候选供应商顺序，确定排名下一位的候选人为成交供应商，也可以重新开展政府采购活动。</w:t>
      </w:r>
    </w:p>
    <w:p w14:paraId="49D55075">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90" w:name="_Toc106030897"/>
      <w:bookmarkStart w:id="91" w:name="_Toc102227321"/>
      <w:bookmarkStart w:id="92" w:name="_Toc76462342"/>
      <w:bookmarkStart w:id="93" w:name="_Toc342913395"/>
      <w:r>
        <w:rPr>
          <w:rFonts w:hint="eastAsia" w:ascii="方正仿宋_GBK" w:hAnsi="宋体" w:eastAsia="方正仿宋_GBK"/>
          <w:color w:val="auto"/>
          <w:sz w:val="24"/>
        </w:rPr>
        <w:t>五、成交通知</w:t>
      </w:r>
      <w:bookmarkEnd w:id="90"/>
      <w:bookmarkEnd w:id="91"/>
      <w:bookmarkEnd w:id="92"/>
      <w:bookmarkEnd w:id="93"/>
    </w:p>
    <w:p w14:paraId="02A5923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（一）成交供应商确定后，采购代理机构将在重庆市交通</w:t>
      </w:r>
      <w:r>
        <w:rPr>
          <w:rFonts w:hint="eastAsia" w:ascii="方正仿宋_GBK" w:hAnsi="宋体" w:eastAsia="方正仿宋_GBK"/>
          <w:color w:val="auto"/>
          <w:sz w:val="24"/>
          <w:szCs w:val="24"/>
          <w:lang w:eastAsia="zh-CN"/>
        </w:rPr>
        <w:t>运输委员会</w:t>
      </w:r>
      <w:r>
        <w:rPr>
          <w:rFonts w:hint="eastAsia" w:ascii="方正仿宋_GBK" w:hAnsi="宋体" w:eastAsia="方正仿宋_GBK"/>
          <w:color w:val="auto"/>
          <w:sz w:val="24"/>
          <w:szCs w:val="24"/>
        </w:rPr>
        <w:t>（https://jtj.cq.gov.cn）上发布成交结果公告。</w:t>
      </w:r>
    </w:p>
    <w:p w14:paraId="6CD6A731">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（三）成交结果公告将作为签订合同的依据。</w:t>
      </w:r>
    </w:p>
    <w:p w14:paraId="7DB0518C">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94" w:name="_Toc76462343"/>
      <w:bookmarkStart w:id="95" w:name="_Toc106030898"/>
      <w:r>
        <w:rPr>
          <w:rFonts w:hint="eastAsia" w:ascii="方正仿宋_GBK" w:hAnsi="宋体" w:eastAsia="方正仿宋_GBK"/>
          <w:color w:val="auto"/>
          <w:sz w:val="24"/>
        </w:rPr>
        <w:t>六、关于质疑和投诉</w:t>
      </w:r>
      <w:bookmarkEnd w:id="94"/>
      <w:bookmarkEnd w:id="95"/>
    </w:p>
    <w:p w14:paraId="57B06CDF">
      <w:pPr>
        <w:spacing w:line="400" w:lineRule="exact"/>
        <w:ind w:firstLine="480" w:firstLineChars="200"/>
        <w:outlineLvl w:val="2"/>
        <w:rPr>
          <w:rFonts w:ascii="方正仿宋_GBK" w:hAnsi="宋体" w:eastAsia="方正仿宋_GBK"/>
          <w:color w:val="auto"/>
          <w:sz w:val="24"/>
          <w:szCs w:val="24"/>
        </w:rPr>
      </w:pPr>
      <w:r>
        <w:rPr>
          <w:rFonts w:hint="eastAsia" w:ascii="方正仿宋_GBK" w:hAnsi="宋体" w:eastAsia="方正仿宋_GBK"/>
          <w:color w:val="auto"/>
          <w:sz w:val="24"/>
          <w:szCs w:val="24"/>
        </w:rPr>
        <w:t>（一）质疑</w:t>
      </w:r>
    </w:p>
    <w:p w14:paraId="04D1AA5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供应商认为采购文件、采购过程和成交结果使自己的权益收到伤害的，可向采购人或采购代理机构以书面形式提出质疑。</w:t>
      </w:r>
    </w:p>
    <w:p w14:paraId="7F469BBD">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提出质疑的应当是参与所质疑项目采购活动的供应商。 </w:t>
      </w:r>
    </w:p>
    <w:p w14:paraId="3F34BC8C">
      <w:pPr>
        <w:spacing w:line="400" w:lineRule="exact"/>
        <w:ind w:right="12" w:firstLine="480"/>
        <w:outlineLvl w:val="2"/>
        <w:rPr>
          <w:rFonts w:ascii="方正仿宋_GBK" w:hAnsi="仿宋" w:eastAsia="方正仿宋_GBK" w:cs="仿宋"/>
          <w:color w:val="auto"/>
          <w:sz w:val="24"/>
        </w:rPr>
      </w:pPr>
      <w:r>
        <w:rPr>
          <w:rFonts w:hint="eastAsia" w:ascii="方正仿宋_GBK" w:hAnsi="仿宋" w:eastAsia="方正仿宋_GBK" w:cs="仿宋"/>
          <w:color w:val="auto"/>
          <w:sz w:val="24"/>
        </w:rPr>
        <w:t>1.质疑时限、内容</w:t>
      </w:r>
    </w:p>
    <w:p w14:paraId="13475624">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供应商认为采购文件、采购过程、成交结果使自己的权益受到损害的，可以在知道或者应知其权益受到损害之日起7个工作日内，以书面形式向采购人、采购代理机构提出质疑。</w:t>
      </w:r>
    </w:p>
    <w:p w14:paraId="72922ED7">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1.2供应商提出质疑应当提交质疑函和必要的证明材料，质疑函应当包括下列内容：</w:t>
      </w:r>
    </w:p>
    <w:p w14:paraId="7829DC71">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1.2.1供应商的姓名或者名称、地址、邮编、联系人及联系电话；</w:t>
      </w:r>
    </w:p>
    <w:p w14:paraId="3AB45FA9">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1.2.2质疑项目的名称、项目号以及采购执行编号；</w:t>
      </w:r>
    </w:p>
    <w:p w14:paraId="1C205DDA">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1.2.3具体、明确的质疑事项和与质疑事项相关的请求；</w:t>
      </w:r>
    </w:p>
    <w:p w14:paraId="5CCF299D">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1.2.4事实依据；</w:t>
      </w:r>
    </w:p>
    <w:p w14:paraId="489FC2D7">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1.2.5必要的法律依据；</w:t>
      </w:r>
    </w:p>
    <w:p w14:paraId="01181181">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1.2.6提出质疑的日期；</w:t>
      </w:r>
    </w:p>
    <w:p w14:paraId="263104C8">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1.2.7营业执照（或事业单位法人证书，或个体工商户营业执照或有效的自然人身份证明）复印件；</w:t>
      </w:r>
    </w:p>
    <w:p w14:paraId="7D257447">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1.2.8法定代表人授权委托书原件、法定代表人身份证复印件和其授权代表的身份证复印件（供应商为自然人的提供自然人身份证复印件）；</w:t>
      </w:r>
    </w:p>
    <w:p w14:paraId="12790985">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1.3供应商为自然人的，质疑函应当由本人签字；供应商为法人或者其他组织的，质疑函应当由法定代表人、主要负责人，或者其授权代表签字或者盖章，并加盖公章。</w:t>
      </w:r>
    </w:p>
    <w:p w14:paraId="18EC1354">
      <w:pPr>
        <w:spacing w:line="400" w:lineRule="exact"/>
        <w:ind w:right="12" w:firstLine="480"/>
        <w:outlineLvl w:val="2"/>
        <w:rPr>
          <w:rFonts w:ascii="方正仿宋_GBK" w:hAnsi="仿宋" w:eastAsia="方正仿宋_GBK" w:cs="仿宋"/>
          <w:color w:val="auto"/>
          <w:sz w:val="24"/>
        </w:rPr>
      </w:pPr>
      <w:r>
        <w:rPr>
          <w:rFonts w:hint="eastAsia" w:ascii="方正仿宋_GBK" w:hAnsi="仿宋" w:eastAsia="方正仿宋_GBK" w:cs="仿宋"/>
          <w:color w:val="auto"/>
          <w:sz w:val="24"/>
        </w:rPr>
        <w:t>2.质疑答复</w:t>
      </w:r>
    </w:p>
    <w:p w14:paraId="2EB54CAF">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采购人、采购代理机构应当在收到供应商的书面质疑后七个工作日内作出答复，并以书面形式通知质疑供应商和其他有关供应商。</w:t>
      </w:r>
    </w:p>
    <w:p w14:paraId="7659A721">
      <w:pPr>
        <w:spacing w:line="400" w:lineRule="exact"/>
        <w:ind w:right="12" w:firstLine="480"/>
        <w:outlineLvl w:val="2"/>
        <w:rPr>
          <w:rFonts w:ascii="方正仿宋_GBK" w:hAnsi="仿宋" w:eastAsia="方正仿宋_GBK" w:cs="仿宋"/>
          <w:color w:val="auto"/>
          <w:sz w:val="24"/>
        </w:rPr>
      </w:pPr>
      <w:r>
        <w:rPr>
          <w:rFonts w:hint="eastAsia" w:ascii="方正仿宋_GBK" w:hAnsi="仿宋" w:eastAsia="方正仿宋_GBK" w:cs="仿宋"/>
          <w:color w:val="auto"/>
          <w:sz w:val="24"/>
        </w:rPr>
        <w:t>3.其他</w:t>
      </w:r>
    </w:p>
    <w:p w14:paraId="546F1AC4">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3.1供应商应按照《政府采购质疑和投诉办法》（财政部令第94号）及相关法律法规要求，在法定质疑期内一次性提出针对同一采购程序环节的质疑。</w:t>
      </w:r>
    </w:p>
    <w:p w14:paraId="554B86FE">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3.2质疑函范本可在财政部门户网站和中国政府采购网下载。</w:t>
      </w:r>
    </w:p>
    <w:p w14:paraId="3C75DEE0">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96" w:name="_Toc102227322"/>
      <w:bookmarkStart w:id="97" w:name="_Toc342913396"/>
      <w:bookmarkStart w:id="98" w:name="_Toc76462346"/>
      <w:bookmarkStart w:id="99" w:name="_Toc106030901"/>
      <w:bookmarkStart w:id="100" w:name="_Toc12789059"/>
      <w:bookmarkStart w:id="101" w:name="_Toc11641055"/>
      <w:r>
        <w:rPr>
          <w:rFonts w:hint="eastAsia" w:ascii="方正仿宋_GBK" w:hAnsi="宋体" w:eastAsia="方正仿宋_GBK"/>
          <w:color w:val="auto"/>
          <w:sz w:val="24"/>
          <w:lang w:eastAsia="zh-CN"/>
        </w:rPr>
        <w:t>七</w:t>
      </w:r>
      <w:r>
        <w:rPr>
          <w:rFonts w:hint="eastAsia" w:ascii="方正仿宋_GBK" w:hAnsi="宋体" w:eastAsia="方正仿宋_GBK"/>
          <w:color w:val="auto"/>
          <w:sz w:val="24"/>
        </w:rPr>
        <w:t>、签订</w:t>
      </w:r>
      <w:bookmarkEnd w:id="96"/>
      <w:r>
        <w:rPr>
          <w:rFonts w:hint="eastAsia" w:ascii="方正仿宋_GBK" w:hAnsi="宋体" w:eastAsia="方正仿宋_GBK"/>
          <w:color w:val="auto"/>
          <w:sz w:val="24"/>
        </w:rPr>
        <w:t>合同</w:t>
      </w:r>
      <w:bookmarkEnd w:id="97"/>
      <w:bookmarkEnd w:id="98"/>
      <w:bookmarkEnd w:id="99"/>
    </w:p>
    <w:p w14:paraId="49564E72">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方正仿宋_GBK" w:eastAsia="方正仿宋_GBK"/>
          <w:color w:val="auto"/>
          <w:sz w:val="24"/>
        </w:rPr>
        <w:t>采购人原则上应在成交结果公告发出之日起二十日内和成交供应商签订政府采购合同，无正当理由不得拒绝或拖延合同签订</w:t>
      </w:r>
      <w:r>
        <w:rPr>
          <w:rFonts w:hint="eastAsia" w:ascii="方正仿宋_GBK" w:hAnsi="宋体" w:eastAsia="方正仿宋_GBK"/>
          <w:color w:val="auto"/>
          <w:sz w:val="24"/>
          <w:szCs w:val="24"/>
        </w:rPr>
        <w:t>。所签订的合同不得对采购文件和供应商的响应文件作实质性修改。其他未尽事宜由采购人和成交供应商在采购合同中详细约定。</w:t>
      </w:r>
    </w:p>
    <w:p w14:paraId="330C551F">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（二）采购文件、供应商的响应文件及澄清文件等，均为签订政府采购合同的依据。</w:t>
      </w:r>
    </w:p>
    <w:p w14:paraId="7BDC2EED">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（三）合同生效条款由供需双方约定，法律、行政法规规定应当办理批准、登记等手续后生效的合同，依照其规定。</w:t>
      </w:r>
    </w:p>
    <w:p w14:paraId="7AAFE68D">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02" w:name="_Toc106030902"/>
      <w:r>
        <w:rPr>
          <w:rFonts w:hint="eastAsia" w:ascii="方正仿宋_GBK" w:hAnsi="宋体" w:eastAsia="方正仿宋_GBK"/>
          <w:color w:val="auto"/>
          <w:sz w:val="24"/>
          <w:lang w:eastAsia="zh-CN"/>
        </w:rPr>
        <w:t>八</w:t>
      </w:r>
      <w:r>
        <w:rPr>
          <w:rFonts w:hint="eastAsia" w:ascii="方正仿宋_GBK" w:hAnsi="宋体" w:eastAsia="方正仿宋_GBK"/>
          <w:color w:val="auto"/>
          <w:sz w:val="24"/>
        </w:rPr>
        <w:t>、项目验收</w:t>
      </w:r>
      <w:bookmarkEnd w:id="102"/>
    </w:p>
    <w:p w14:paraId="37215CEB">
      <w:pPr>
        <w:spacing w:line="400" w:lineRule="exact"/>
        <w:ind w:firstLine="480" w:firstLineChars="200"/>
        <w:rPr>
          <w:rFonts w:hint="eastAsia" w:ascii="方正仿宋_GBK" w:hAnsi="宋体" w:eastAsia="方正仿宋_GBK"/>
          <w:color w:val="auto"/>
          <w:sz w:val="24"/>
          <w:szCs w:val="24"/>
        </w:rPr>
      </w:pPr>
      <w:r>
        <w:rPr>
          <w:rFonts w:hint="eastAsia" w:ascii="方正仿宋_GBK" w:hAnsi="方正仿宋_GBK" w:eastAsia="方正仿宋_GBK"/>
          <w:color w:val="auto"/>
          <w:sz w:val="24"/>
        </w:rPr>
        <w:t>合同执行完毕，采购人或采购代理机构原则上应在7个工作日内组织履约情况验收，不得无故拖延或附加额外条件。</w:t>
      </w:r>
    </w:p>
    <w:p w14:paraId="04C43519">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03" w:name="_Toc76462344"/>
      <w:bookmarkStart w:id="104" w:name="_Toc106030899"/>
      <w:r>
        <w:rPr>
          <w:rFonts w:hint="eastAsia" w:ascii="方正仿宋_GBK" w:hAnsi="宋体" w:eastAsia="方正仿宋_GBK"/>
          <w:color w:val="auto"/>
          <w:sz w:val="24"/>
          <w:lang w:eastAsia="zh-CN"/>
        </w:rPr>
        <w:t>九</w:t>
      </w:r>
      <w:r>
        <w:rPr>
          <w:rFonts w:hint="eastAsia" w:ascii="方正仿宋_GBK" w:hAnsi="宋体" w:eastAsia="方正仿宋_GBK"/>
          <w:color w:val="auto"/>
          <w:sz w:val="24"/>
        </w:rPr>
        <w:t>、采购代理服务费</w:t>
      </w:r>
      <w:bookmarkEnd w:id="103"/>
      <w:bookmarkEnd w:id="104"/>
    </w:p>
    <w:p w14:paraId="0D69D043">
      <w:pPr>
        <w:snapToGrid w:val="0"/>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供应商成交后向采购代理机构缴纳采购代理服务费，服务费的收取标准为按照计价格[2002]1980号文件规定下浮36%计取，但不低于2700元。</w:t>
      </w:r>
    </w:p>
    <w:p w14:paraId="46F1E7ED">
      <w:pPr>
        <w:pStyle w:val="3"/>
        <w:spacing w:before="0" w:after="0" w:line="360" w:lineRule="auto"/>
        <w:jc w:val="center"/>
        <w:rPr>
          <w:rFonts w:hint="eastAsia" w:ascii="方正小标宋_GBK" w:hAnsi="宋体" w:eastAsia="方正小标宋_GBK"/>
          <w:b w:val="0"/>
          <w:color w:val="auto"/>
          <w:sz w:val="36"/>
          <w:szCs w:val="30"/>
        </w:rPr>
      </w:pPr>
      <w:r>
        <w:rPr>
          <w:rFonts w:ascii="宋体" w:hAnsi="宋体" w:eastAsia="宋体"/>
          <w:color w:val="auto"/>
          <w:sz w:val="36"/>
          <w:szCs w:val="30"/>
        </w:rPr>
        <w:br w:type="page"/>
      </w:r>
      <w:bookmarkStart w:id="105" w:name="_Toc106030904"/>
      <w:bookmarkStart w:id="106" w:name="_Toc76462348"/>
      <w:r>
        <w:rPr>
          <w:rFonts w:hint="eastAsia" w:ascii="方正小标宋_GBK" w:hAnsi="宋体" w:eastAsia="方正小标宋_GBK"/>
          <w:b w:val="0"/>
          <w:color w:val="auto"/>
          <w:sz w:val="36"/>
          <w:szCs w:val="30"/>
        </w:rPr>
        <w:t xml:space="preserve">第六篇  </w:t>
      </w:r>
      <w:bookmarkEnd w:id="100"/>
      <w:bookmarkEnd w:id="101"/>
      <w:r>
        <w:rPr>
          <w:rFonts w:hint="eastAsia" w:ascii="方正小标宋_GBK" w:hAnsi="宋体" w:eastAsia="方正小标宋_GBK"/>
          <w:b w:val="0"/>
          <w:color w:val="auto"/>
          <w:sz w:val="36"/>
          <w:szCs w:val="30"/>
        </w:rPr>
        <w:t>政府采购合同</w:t>
      </w:r>
      <w:bookmarkEnd w:id="105"/>
      <w:bookmarkEnd w:id="106"/>
    </w:p>
    <w:p w14:paraId="1197B878">
      <w:pPr>
        <w:jc w:val="center"/>
        <w:rPr>
          <w:rFonts w:hint="eastAsia" w:ascii="仿宋_GB2312" w:hAnsi="仿宋_GB2312" w:eastAsia="仿宋_GB2312" w:cs="仿宋_GB2312"/>
          <w:color w:val="auto"/>
          <w:sz w:val="36"/>
        </w:rPr>
      </w:pPr>
      <w:r>
        <w:rPr>
          <w:rFonts w:hint="eastAsia" w:ascii="仿宋_GB2312" w:hAnsi="仿宋_GB2312" w:eastAsia="仿宋_GB2312" w:cs="仿宋_GB2312"/>
          <w:color w:val="auto"/>
          <w:sz w:val="36"/>
        </w:rPr>
        <w:t>重庆市政府采购货物购销合同</w:t>
      </w:r>
    </w:p>
    <w:p w14:paraId="5E273E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（项目编号：</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w:t>
      </w:r>
    </w:p>
    <w:p w14:paraId="1B1BEAA7">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供方：</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rPr>
        <w:t xml:space="preserve">                计量单位：_____________</w:t>
      </w:r>
    </w:p>
    <w:p w14:paraId="07AEB871">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需方：</w:t>
      </w:r>
      <w:r>
        <w:rPr>
          <w:rFonts w:hint="eastAsia" w:ascii="仿宋_GB2312" w:hAnsi="仿宋_GB2312" w:eastAsia="仿宋_GB2312" w:cs="仿宋_GB2312"/>
          <w:color w:val="auto"/>
          <w:sz w:val="24"/>
          <w:szCs w:val="24"/>
          <w:u w:val="single"/>
        </w:rPr>
        <w:t xml:space="preserve">重庆市乌江航道管理处   </w:t>
      </w:r>
      <w:r>
        <w:rPr>
          <w:rFonts w:hint="eastAsia" w:ascii="仿宋_GB2312" w:hAnsi="仿宋_GB2312" w:eastAsia="仿宋_GB2312" w:cs="仿宋_GB2312"/>
          <w:color w:val="auto"/>
          <w:sz w:val="24"/>
          <w:szCs w:val="24"/>
        </w:rPr>
        <w:t xml:space="preserve">                 计价单位：</w:t>
      </w:r>
      <w:r>
        <w:rPr>
          <w:rFonts w:hint="eastAsia" w:ascii="仿宋_GB2312" w:hAnsi="仿宋_GB2312" w:eastAsia="仿宋_GB2312" w:cs="仿宋_GB2312"/>
          <w:color w:val="auto"/>
          <w:sz w:val="24"/>
          <w:szCs w:val="24"/>
          <w:u w:val="single"/>
        </w:rPr>
        <w:t xml:space="preserve">     元      </w:t>
      </w:r>
    </w:p>
    <w:p w14:paraId="6C894602">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协商一致，达成以下购销合同：</w:t>
      </w:r>
    </w:p>
    <w:tbl>
      <w:tblPr>
        <w:tblStyle w:val="58"/>
        <w:tblW w:w="1011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66"/>
        <w:gridCol w:w="1594"/>
        <w:gridCol w:w="648"/>
        <w:gridCol w:w="346"/>
        <w:gridCol w:w="1143"/>
        <w:gridCol w:w="1241"/>
        <w:gridCol w:w="1417"/>
        <w:gridCol w:w="1359"/>
      </w:tblGrid>
      <w:tr w14:paraId="11F83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66" w:type="dxa"/>
            <w:tcBorders>
              <w:top w:val="single" w:color="auto" w:sz="4" w:space="0"/>
              <w:left w:val="single" w:color="auto" w:sz="4" w:space="0"/>
              <w:bottom w:val="single" w:color="auto" w:sz="4" w:space="0"/>
              <w:right w:val="single" w:color="auto" w:sz="4" w:space="0"/>
            </w:tcBorders>
            <w:noWrap w:val="0"/>
            <w:vAlign w:val="center"/>
          </w:tcPr>
          <w:p w14:paraId="378CC8BE">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商品名称</w:t>
            </w:r>
          </w:p>
        </w:tc>
        <w:tc>
          <w:tcPr>
            <w:tcW w:w="1594" w:type="dxa"/>
            <w:tcBorders>
              <w:top w:val="single" w:color="auto" w:sz="4" w:space="0"/>
              <w:left w:val="single" w:color="auto" w:sz="4" w:space="0"/>
              <w:bottom w:val="single" w:color="auto" w:sz="4" w:space="0"/>
              <w:right w:val="single" w:color="auto" w:sz="4" w:space="0"/>
            </w:tcBorders>
            <w:noWrap w:val="0"/>
            <w:vAlign w:val="center"/>
          </w:tcPr>
          <w:p w14:paraId="3FBC21AE">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规格型号</w:t>
            </w:r>
          </w:p>
        </w:tc>
        <w:tc>
          <w:tcPr>
            <w:tcW w:w="994" w:type="dxa"/>
            <w:gridSpan w:val="2"/>
            <w:tcBorders>
              <w:top w:val="single" w:color="auto" w:sz="4" w:space="0"/>
              <w:left w:val="single" w:color="auto" w:sz="4" w:space="0"/>
              <w:bottom w:val="single" w:color="auto" w:sz="4" w:space="0"/>
              <w:right w:val="single" w:color="auto" w:sz="4" w:space="0"/>
            </w:tcBorders>
            <w:noWrap w:val="0"/>
            <w:vAlign w:val="center"/>
          </w:tcPr>
          <w:p w14:paraId="672E087D">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EB8960D">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单价(元)</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7379792">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总价(元)</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495A855">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交货时间</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19E519CB">
            <w:pPr>
              <w:spacing w:line="360"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交货地点</w:t>
            </w:r>
          </w:p>
        </w:tc>
      </w:tr>
      <w:tr w14:paraId="700D9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366" w:type="dxa"/>
            <w:tcBorders>
              <w:top w:val="single" w:color="auto" w:sz="4" w:space="0"/>
              <w:left w:val="single" w:color="auto" w:sz="4" w:space="0"/>
              <w:bottom w:val="single" w:color="auto" w:sz="4" w:space="0"/>
              <w:right w:val="single" w:color="auto" w:sz="4" w:space="0"/>
            </w:tcBorders>
            <w:noWrap w:val="0"/>
            <w:vAlign w:val="center"/>
          </w:tcPr>
          <w:p w14:paraId="44A7F7C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1594" w:type="dxa"/>
            <w:tcBorders>
              <w:top w:val="single" w:color="auto" w:sz="4" w:space="0"/>
              <w:left w:val="single" w:color="auto" w:sz="4" w:space="0"/>
              <w:bottom w:val="single" w:color="auto" w:sz="4" w:space="0"/>
              <w:right w:val="single" w:color="auto" w:sz="4" w:space="0"/>
            </w:tcBorders>
            <w:noWrap w:val="0"/>
            <w:vAlign w:val="center"/>
          </w:tcPr>
          <w:p w14:paraId="7A276C38">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994" w:type="dxa"/>
            <w:gridSpan w:val="2"/>
            <w:tcBorders>
              <w:top w:val="single" w:color="auto" w:sz="4" w:space="0"/>
              <w:left w:val="single" w:color="auto" w:sz="4" w:space="0"/>
              <w:bottom w:val="single" w:color="auto" w:sz="4" w:space="0"/>
              <w:right w:val="single" w:color="auto" w:sz="4" w:space="0"/>
            </w:tcBorders>
            <w:noWrap w:val="0"/>
            <w:vAlign w:val="center"/>
          </w:tcPr>
          <w:p w14:paraId="5DF5C658">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E3CF96A">
            <w:pPr>
              <w:keepNext w:val="0"/>
              <w:keepLines w:val="0"/>
              <w:widowControl/>
              <w:suppressLineNumbers w:val="0"/>
              <w:jc w:val="center"/>
              <w:textAlignment w:val="center"/>
              <w:rPr>
                <w:rFonts w:hint="eastAsia" w:ascii="仿宋_GB2312" w:hAnsi="仿宋_GB2312" w:eastAsia="仿宋_GB2312" w:cs="仿宋_GB2312"/>
                <w:b/>
                <w:color w:val="auto"/>
                <w:kern w:val="2"/>
                <w:sz w:val="21"/>
                <w:szCs w:val="28"/>
                <w:vertAlign w:val="baseline"/>
                <w:lang w:val="en-US" w:eastAsia="zh-CN" w:bidi="ar-SA"/>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C8165B5">
            <w:pPr>
              <w:keepNext w:val="0"/>
              <w:keepLines w:val="0"/>
              <w:widowControl/>
              <w:suppressLineNumbers w:val="0"/>
              <w:jc w:val="center"/>
              <w:textAlignment w:val="center"/>
              <w:rPr>
                <w:rFonts w:hint="eastAsia" w:ascii="仿宋_GB2312" w:hAnsi="仿宋_GB2312" w:eastAsia="仿宋_GB2312" w:cs="仿宋_GB2312"/>
                <w:b/>
                <w:color w:val="auto"/>
                <w:kern w:val="2"/>
                <w:sz w:val="21"/>
                <w:szCs w:val="28"/>
                <w:vertAlign w:val="baseline"/>
                <w:lang w:val="en-US" w:eastAsia="zh-CN" w:bidi="ar-SA"/>
              </w:rPr>
            </w:pPr>
          </w:p>
        </w:tc>
        <w:tc>
          <w:tcPr>
            <w:tcW w:w="1417" w:type="dxa"/>
            <w:vMerge w:val="restart"/>
            <w:tcBorders>
              <w:top w:val="single" w:color="auto" w:sz="4" w:space="0"/>
              <w:left w:val="single" w:color="auto" w:sz="4" w:space="0"/>
              <w:right w:val="single" w:color="auto" w:sz="4" w:space="0"/>
            </w:tcBorders>
            <w:noWrap w:val="0"/>
            <w:vAlign w:val="center"/>
          </w:tcPr>
          <w:p w14:paraId="00EC2B5D">
            <w:pPr>
              <w:spacing w:line="360" w:lineRule="auto"/>
              <w:jc w:val="center"/>
              <w:rPr>
                <w:rFonts w:hint="eastAsia" w:ascii="仿宋_GB2312" w:hAnsi="仿宋_GB2312" w:eastAsia="仿宋_GB2312" w:cs="仿宋_GB2312"/>
                <w:color w:val="auto"/>
                <w:sz w:val="24"/>
                <w:szCs w:val="24"/>
              </w:rPr>
            </w:pPr>
          </w:p>
        </w:tc>
        <w:tc>
          <w:tcPr>
            <w:tcW w:w="1359" w:type="dxa"/>
            <w:vMerge w:val="restart"/>
            <w:tcBorders>
              <w:top w:val="single" w:color="auto" w:sz="4" w:space="0"/>
              <w:left w:val="single" w:color="auto" w:sz="4" w:space="0"/>
              <w:right w:val="single" w:color="auto" w:sz="4" w:space="0"/>
            </w:tcBorders>
            <w:noWrap w:val="0"/>
            <w:vAlign w:val="center"/>
          </w:tcPr>
          <w:p w14:paraId="35167E37">
            <w:pPr>
              <w:widowControl/>
              <w:spacing w:line="360" w:lineRule="auto"/>
              <w:jc w:val="center"/>
              <w:rPr>
                <w:rFonts w:hint="eastAsia" w:ascii="仿宋_GB2312" w:hAnsi="仿宋_GB2312" w:eastAsia="仿宋_GB2312" w:cs="仿宋_GB2312"/>
                <w:color w:val="auto"/>
                <w:kern w:val="0"/>
                <w:sz w:val="24"/>
                <w:szCs w:val="24"/>
              </w:rPr>
            </w:pPr>
          </w:p>
        </w:tc>
      </w:tr>
      <w:tr w14:paraId="20F69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2366" w:type="dxa"/>
            <w:tcBorders>
              <w:top w:val="single" w:color="auto" w:sz="4" w:space="0"/>
              <w:left w:val="single" w:color="auto" w:sz="4" w:space="0"/>
              <w:bottom w:val="single" w:color="auto" w:sz="4" w:space="0"/>
              <w:right w:val="single" w:color="auto" w:sz="4" w:space="0"/>
            </w:tcBorders>
            <w:noWrap w:val="0"/>
            <w:vAlign w:val="center"/>
          </w:tcPr>
          <w:p w14:paraId="0090BFD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1594" w:type="dxa"/>
            <w:tcBorders>
              <w:top w:val="single" w:color="auto" w:sz="4" w:space="0"/>
              <w:left w:val="single" w:color="auto" w:sz="4" w:space="0"/>
              <w:bottom w:val="single" w:color="auto" w:sz="4" w:space="0"/>
              <w:right w:val="single" w:color="auto" w:sz="4" w:space="0"/>
            </w:tcBorders>
            <w:noWrap w:val="0"/>
            <w:vAlign w:val="center"/>
          </w:tcPr>
          <w:p w14:paraId="62D64D5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994" w:type="dxa"/>
            <w:gridSpan w:val="2"/>
            <w:tcBorders>
              <w:top w:val="single" w:color="auto" w:sz="4" w:space="0"/>
              <w:left w:val="single" w:color="auto" w:sz="4" w:space="0"/>
              <w:bottom w:val="single" w:color="auto" w:sz="4" w:space="0"/>
              <w:right w:val="single" w:color="auto" w:sz="4" w:space="0"/>
            </w:tcBorders>
            <w:noWrap w:val="0"/>
            <w:vAlign w:val="center"/>
          </w:tcPr>
          <w:p w14:paraId="50A0EFA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B6BED51">
            <w:pPr>
              <w:keepNext w:val="0"/>
              <w:keepLines w:val="0"/>
              <w:widowControl/>
              <w:suppressLineNumbers w:val="0"/>
              <w:jc w:val="center"/>
              <w:textAlignment w:val="center"/>
              <w:rPr>
                <w:rFonts w:hint="eastAsia" w:ascii="仿宋_GB2312" w:hAnsi="仿宋_GB2312" w:eastAsia="仿宋_GB2312" w:cs="仿宋_GB2312"/>
                <w:b/>
                <w:color w:val="auto"/>
                <w:kern w:val="2"/>
                <w:sz w:val="21"/>
                <w:szCs w:val="28"/>
                <w:vertAlign w:val="baseline"/>
                <w:lang w:val="en-US" w:eastAsia="zh-CN" w:bidi="ar-SA"/>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F5F16F4">
            <w:pPr>
              <w:keepNext w:val="0"/>
              <w:keepLines w:val="0"/>
              <w:widowControl/>
              <w:suppressLineNumbers w:val="0"/>
              <w:jc w:val="center"/>
              <w:textAlignment w:val="center"/>
              <w:rPr>
                <w:rFonts w:hint="eastAsia" w:ascii="仿宋_GB2312" w:hAnsi="仿宋_GB2312" w:eastAsia="仿宋_GB2312" w:cs="仿宋_GB2312"/>
                <w:b/>
                <w:color w:val="auto"/>
                <w:kern w:val="2"/>
                <w:sz w:val="21"/>
                <w:szCs w:val="28"/>
                <w:vertAlign w:val="baseline"/>
                <w:lang w:val="en-US" w:eastAsia="zh-CN" w:bidi="ar-SA"/>
              </w:rPr>
            </w:pPr>
          </w:p>
        </w:tc>
        <w:tc>
          <w:tcPr>
            <w:tcW w:w="1417" w:type="dxa"/>
            <w:vMerge w:val="continue"/>
            <w:tcBorders>
              <w:left w:val="single" w:color="auto" w:sz="4" w:space="0"/>
              <w:right w:val="single" w:color="auto" w:sz="4" w:space="0"/>
            </w:tcBorders>
            <w:noWrap w:val="0"/>
            <w:vAlign w:val="center"/>
          </w:tcPr>
          <w:p w14:paraId="336E0AF1">
            <w:pPr>
              <w:spacing w:line="360" w:lineRule="auto"/>
              <w:jc w:val="center"/>
              <w:rPr>
                <w:rFonts w:hint="eastAsia" w:ascii="仿宋_GB2312" w:hAnsi="仿宋_GB2312" w:eastAsia="仿宋_GB2312" w:cs="仿宋_GB2312"/>
                <w:color w:val="auto"/>
                <w:sz w:val="24"/>
                <w:szCs w:val="24"/>
              </w:rPr>
            </w:pPr>
          </w:p>
        </w:tc>
        <w:tc>
          <w:tcPr>
            <w:tcW w:w="1359" w:type="dxa"/>
            <w:vMerge w:val="continue"/>
            <w:tcBorders>
              <w:left w:val="single" w:color="auto" w:sz="4" w:space="0"/>
              <w:right w:val="single" w:color="auto" w:sz="4" w:space="0"/>
            </w:tcBorders>
            <w:noWrap w:val="0"/>
            <w:vAlign w:val="center"/>
          </w:tcPr>
          <w:p w14:paraId="4090AC32">
            <w:pPr>
              <w:spacing w:line="360" w:lineRule="auto"/>
              <w:jc w:val="center"/>
              <w:rPr>
                <w:rFonts w:hint="eastAsia" w:ascii="仿宋_GB2312" w:hAnsi="仿宋_GB2312" w:eastAsia="仿宋_GB2312" w:cs="仿宋_GB2312"/>
                <w:color w:val="auto"/>
                <w:sz w:val="24"/>
                <w:szCs w:val="24"/>
              </w:rPr>
            </w:pPr>
          </w:p>
        </w:tc>
      </w:tr>
      <w:tr w14:paraId="25E52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114" w:type="dxa"/>
            <w:gridSpan w:val="8"/>
            <w:tcBorders>
              <w:top w:val="single" w:color="auto" w:sz="4" w:space="0"/>
              <w:left w:val="single" w:color="auto" w:sz="4" w:space="0"/>
              <w:bottom w:val="single" w:color="auto" w:sz="4" w:space="0"/>
              <w:right w:val="single" w:color="auto" w:sz="4" w:space="0"/>
            </w:tcBorders>
            <w:noWrap w:val="0"/>
            <w:vAlign w:val="center"/>
          </w:tcPr>
          <w:p w14:paraId="34F3A6F4">
            <w:pPr>
              <w:widowControl/>
              <w:spacing w:line="360" w:lineRule="auto"/>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合计人民币（小写）：</w:t>
            </w:r>
            <w:r>
              <w:rPr>
                <w:rFonts w:hint="eastAsia" w:ascii="仿宋_GB2312" w:hAnsi="仿宋_GB2312" w:eastAsia="仿宋_GB2312" w:cs="仿宋_GB2312"/>
                <w:color w:val="auto"/>
                <w:kern w:val="0"/>
                <w:sz w:val="24"/>
                <w:szCs w:val="24"/>
                <w:lang w:val="en-US" w:eastAsia="zh-CN"/>
              </w:rPr>
              <w:t xml:space="preserve">          元</w:t>
            </w:r>
          </w:p>
        </w:tc>
      </w:tr>
      <w:tr w14:paraId="67ED8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114" w:type="dxa"/>
            <w:gridSpan w:val="8"/>
            <w:tcBorders>
              <w:top w:val="single" w:color="auto" w:sz="4" w:space="0"/>
              <w:left w:val="single" w:color="auto" w:sz="4" w:space="0"/>
              <w:bottom w:val="single" w:color="auto" w:sz="4" w:space="0"/>
              <w:right w:val="single" w:color="auto" w:sz="4" w:space="0"/>
            </w:tcBorders>
            <w:noWrap w:val="0"/>
            <w:vAlign w:val="center"/>
          </w:tcPr>
          <w:p w14:paraId="6A09FDC9">
            <w:pPr>
              <w:widowControl/>
              <w:spacing w:line="360" w:lineRule="auto"/>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合计人民币（大写）：</w:t>
            </w:r>
            <w:r>
              <w:rPr>
                <w:rFonts w:hint="eastAsia" w:ascii="仿宋_GB2312" w:hAnsi="仿宋_GB2312" w:eastAsia="仿宋_GB2312" w:cs="仿宋_GB2312"/>
                <w:color w:val="auto"/>
                <w:kern w:val="0"/>
                <w:sz w:val="24"/>
                <w:szCs w:val="24"/>
                <w:lang w:val="en-US" w:eastAsia="zh-CN"/>
              </w:rPr>
              <w:t xml:space="preserve">          元整</w:t>
            </w:r>
          </w:p>
        </w:tc>
      </w:tr>
      <w:tr w14:paraId="00A88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2"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1D40F8B4">
            <w:pPr>
              <w:numPr>
                <w:ilvl w:val="0"/>
                <w:numId w:val="14"/>
              </w:num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质量要求和技术标准。供方提供的货物必须提供由原公司（厂）生产的全新产品，符合国家对同类产品规定的质量、环保标准，技术参数和要求与采购要求相符，不得供应假冒伪劣产品。供方的质量保证及售后服务承诺如下：</w:t>
            </w:r>
          </w:p>
          <w:p w14:paraId="36E5F2A3">
            <w:pPr>
              <w:numPr>
                <w:ilvl w:val="1"/>
                <w:numId w:val="15"/>
              </w:numPr>
              <w:tabs>
                <w:tab w:val="left" w:pos="78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质保期限：货物交付后验收合格起</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年。</w:t>
            </w:r>
          </w:p>
          <w:p w14:paraId="4379ECC6">
            <w:pPr>
              <w:numPr>
                <w:ilvl w:val="1"/>
                <w:numId w:val="15"/>
              </w:numPr>
              <w:tabs>
                <w:tab w:val="left" w:pos="78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保修范围：所提供的货物。</w:t>
            </w:r>
          </w:p>
          <w:p w14:paraId="4877B334">
            <w:pPr>
              <w:numPr>
                <w:ilvl w:val="1"/>
                <w:numId w:val="15"/>
              </w:numPr>
              <w:tabs>
                <w:tab w:val="left" w:pos="78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服务措施：按标书承诺条款。</w:t>
            </w:r>
          </w:p>
          <w:p w14:paraId="2BF7CB9C">
            <w:pPr>
              <w:numPr>
                <w:ilvl w:val="1"/>
                <w:numId w:val="15"/>
              </w:numPr>
              <w:tabs>
                <w:tab w:val="left" w:pos="78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质保期后服务：收取实际成本材料费。</w:t>
            </w:r>
          </w:p>
        </w:tc>
      </w:tr>
      <w:tr w14:paraId="47FCA8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0FE0839A">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二、随机备品、附件、工具数量及供应方法：无 </w:t>
            </w:r>
          </w:p>
        </w:tc>
      </w:tr>
      <w:tr w14:paraId="2D7DA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479BDA81">
            <w:pPr>
              <w:numPr>
                <w:ilvl w:val="0"/>
                <w:numId w:val="16"/>
              </w:num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交提货方式：</w:t>
            </w:r>
          </w:p>
          <w:p w14:paraId="7D429D89">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w:t>
            </w:r>
          </w:p>
        </w:tc>
      </w:tr>
      <w:tr w14:paraId="591A63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15B2234C">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四、验收标准、方法：</w:t>
            </w:r>
          </w:p>
          <w:p w14:paraId="2BA9FA77">
            <w:pPr>
              <w:snapToGrid w:val="0"/>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1、货物运至交货底单，供</w:t>
            </w:r>
            <w:r>
              <w:rPr>
                <w:rFonts w:hint="eastAsia" w:ascii="仿宋_GB2312" w:hAnsi="仿宋_GB2312" w:eastAsia="仿宋_GB2312" w:cs="仿宋_GB2312"/>
                <w:color w:val="auto"/>
                <w:sz w:val="24"/>
                <w:szCs w:val="24"/>
                <w:lang w:val="en-US" w:eastAsia="zh-CN"/>
              </w:rPr>
              <w:t>方</w:t>
            </w:r>
            <w:r>
              <w:rPr>
                <w:rFonts w:hint="eastAsia" w:ascii="仿宋_GB2312" w:hAnsi="仿宋_GB2312" w:eastAsia="仿宋_GB2312" w:cs="仿宋_GB2312"/>
                <w:color w:val="auto"/>
                <w:sz w:val="24"/>
                <w:szCs w:val="24"/>
              </w:rPr>
              <w:t>必须在使用单位人员在场情况下当面开箱，共同清点、检查货物质量，双方签字确认。</w:t>
            </w:r>
          </w:p>
          <w:p w14:paraId="0E0D5C78">
            <w:pPr>
              <w:snapToGrid w:val="0"/>
              <w:spacing w:line="44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2、供方应保证货物到达用户所在地完好无损，如有缺漏、损坏，由供应商负责调换、补齐或赔偿。</w:t>
            </w:r>
          </w:p>
        </w:tc>
      </w:tr>
      <w:tr w14:paraId="722EC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04F5ACD5">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五、付款方式：</w:t>
            </w:r>
          </w:p>
          <w:p w14:paraId="6E908604">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验收合格后，供应商出具正式发票，甲方于10个工作日内一次付清所有费用。</w:t>
            </w:r>
          </w:p>
        </w:tc>
      </w:tr>
      <w:tr w14:paraId="3AFBE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63E3B330">
            <w:pPr>
              <w:numPr>
                <w:ilvl w:val="0"/>
                <w:numId w:val="17"/>
              </w:num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违约责任：</w:t>
            </w:r>
          </w:p>
          <w:p w14:paraId="5B647E52">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1、需方保证按合同规定，货物验收合格后，按时向供方付款。供方应按规定时间完成供货。</w:t>
            </w:r>
          </w:p>
          <w:p w14:paraId="23D823A6">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2、供方如提供的产品质量不合格，需方有权拒付货款，并赔偿需方损失。</w:t>
            </w:r>
          </w:p>
        </w:tc>
      </w:tr>
      <w:tr w14:paraId="25F96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1"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2FF3C567">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七、其他约定事项：</w:t>
            </w:r>
          </w:p>
          <w:p w14:paraId="377B4AF6">
            <w:pPr>
              <w:numPr>
                <w:ilvl w:val="0"/>
                <w:numId w:val="18"/>
              </w:numPr>
              <w:tabs>
                <w:tab w:val="left" w:pos="360"/>
                <w:tab w:val="left" w:pos="644"/>
                <w:tab w:val="left" w:pos="162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采购公告及补遗，响应文件及承诺是本合同不可分割的部分。</w:t>
            </w:r>
          </w:p>
          <w:p w14:paraId="7D4C42BC">
            <w:pPr>
              <w:numPr>
                <w:ilvl w:val="0"/>
                <w:numId w:val="18"/>
              </w:numPr>
              <w:tabs>
                <w:tab w:val="left" w:pos="360"/>
                <w:tab w:val="left" w:pos="644"/>
                <w:tab w:val="left" w:pos="162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本合同如发生争议可申请仲裁或提请诉讼。</w:t>
            </w:r>
          </w:p>
          <w:p w14:paraId="3DEFE404">
            <w:pPr>
              <w:numPr>
                <w:ilvl w:val="0"/>
                <w:numId w:val="18"/>
              </w:numPr>
              <w:tabs>
                <w:tab w:val="left" w:pos="360"/>
                <w:tab w:val="left" w:pos="644"/>
                <w:tab w:val="left" w:pos="1620"/>
              </w:tabs>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本合同一式五份，甲方三份、乙方二份，具同等法律效力。</w:t>
            </w:r>
          </w:p>
        </w:tc>
      </w:tr>
      <w:tr w14:paraId="6E070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8" w:hRule="atLeast"/>
        </w:trPr>
        <w:tc>
          <w:tcPr>
            <w:tcW w:w="4608" w:type="dxa"/>
            <w:gridSpan w:val="3"/>
            <w:tcBorders>
              <w:top w:val="single" w:color="auto" w:sz="4" w:space="0"/>
              <w:left w:val="single" w:color="auto" w:sz="4" w:space="0"/>
              <w:bottom w:val="single" w:color="auto" w:sz="4" w:space="0"/>
              <w:right w:val="single" w:color="auto" w:sz="4" w:space="0"/>
            </w:tcBorders>
            <w:noWrap w:val="0"/>
            <w:vAlign w:val="top"/>
          </w:tcPr>
          <w:p w14:paraId="52914640">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需方：</w:t>
            </w:r>
          </w:p>
          <w:p w14:paraId="2B26D237">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地址：</w:t>
            </w:r>
          </w:p>
          <w:p w14:paraId="3913DE67">
            <w:pPr>
              <w:spacing w:line="360" w:lineRule="auto"/>
              <w:rPr>
                <w:rFonts w:hint="eastAsia" w:ascii="仿宋_GB2312" w:hAnsi="仿宋_GB2312" w:eastAsia="仿宋_GB2312" w:cs="仿宋_GB2312"/>
                <w:color w:val="auto"/>
                <w:sz w:val="24"/>
                <w:szCs w:val="24"/>
              </w:rPr>
            </w:pPr>
          </w:p>
          <w:p w14:paraId="218ACB3C">
            <w:pPr>
              <w:spacing w:line="360" w:lineRule="auto"/>
              <w:rPr>
                <w:rFonts w:hint="eastAsia" w:ascii="仿宋_GB2312" w:hAnsi="仿宋_GB2312" w:eastAsia="仿宋_GB2312" w:cs="仿宋_GB2312"/>
                <w:color w:val="auto"/>
                <w:sz w:val="24"/>
                <w:szCs w:val="24"/>
              </w:rPr>
            </w:pPr>
          </w:p>
          <w:p w14:paraId="087B4D5B">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联系电话：</w:t>
            </w:r>
          </w:p>
          <w:p w14:paraId="19C3C2D6">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传真：</w:t>
            </w:r>
          </w:p>
          <w:p w14:paraId="1E822A14">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w:t>
            </w:r>
          </w:p>
          <w:p w14:paraId="6EB8E178">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或授权代表人：</w:t>
            </w:r>
          </w:p>
        </w:tc>
        <w:tc>
          <w:tcPr>
            <w:tcW w:w="5506" w:type="dxa"/>
            <w:gridSpan w:val="5"/>
            <w:tcBorders>
              <w:top w:val="single" w:color="auto" w:sz="4" w:space="0"/>
              <w:left w:val="single" w:color="auto" w:sz="4" w:space="0"/>
              <w:bottom w:val="single" w:color="auto" w:sz="4" w:space="0"/>
              <w:right w:val="single" w:color="auto" w:sz="4" w:space="0"/>
            </w:tcBorders>
            <w:noWrap w:val="0"/>
            <w:vAlign w:val="top"/>
          </w:tcPr>
          <w:p w14:paraId="166726BC">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供方：</w:t>
            </w:r>
          </w:p>
          <w:p w14:paraId="4247AFDE">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地址：</w:t>
            </w:r>
          </w:p>
          <w:p w14:paraId="79C0A3C8">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电话：</w:t>
            </w:r>
          </w:p>
          <w:p w14:paraId="11E17502">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传真：/</w:t>
            </w:r>
          </w:p>
          <w:p w14:paraId="347806EC">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开户银行：</w:t>
            </w:r>
          </w:p>
          <w:p w14:paraId="748682A0">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账号：</w:t>
            </w:r>
          </w:p>
          <w:p w14:paraId="45B7260B">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法定代表人：</w:t>
            </w:r>
          </w:p>
          <w:p w14:paraId="32ABC99F">
            <w:pPr>
              <w:widowControl/>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或授权代表人：</w:t>
            </w:r>
          </w:p>
        </w:tc>
      </w:tr>
      <w:tr w14:paraId="37BCC3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0114" w:type="dxa"/>
            <w:gridSpan w:val="8"/>
            <w:tcBorders>
              <w:top w:val="single" w:color="auto" w:sz="4" w:space="0"/>
              <w:left w:val="single" w:color="auto" w:sz="4" w:space="0"/>
              <w:bottom w:val="single" w:color="auto" w:sz="4" w:space="0"/>
              <w:right w:val="single" w:color="auto" w:sz="4" w:space="0"/>
            </w:tcBorders>
            <w:noWrap w:val="0"/>
            <w:vAlign w:val="top"/>
          </w:tcPr>
          <w:p w14:paraId="275E7EEC">
            <w:pPr>
              <w:spacing w:line="360"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备注：</w:t>
            </w:r>
          </w:p>
        </w:tc>
      </w:tr>
    </w:tbl>
    <w:p w14:paraId="600C8597">
      <w:pPr>
        <w:spacing w:line="360" w:lineRule="auto"/>
        <w:ind w:right="-153"/>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签约时间：</w:t>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年   月   日</w:t>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签约地点：</w:t>
      </w:r>
    </w:p>
    <w:p w14:paraId="4D626AFF">
      <w:pPr>
        <w:spacing w:line="360" w:lineRule="auto"/>
        <w:ind w:right="-153"/>
        <w:rPr>
          <w:rFonts w:ascii="宋体" w:hAnsi="宋体" w:cs="宋体"/>
          <w:color w:val="auto"/>
          <w:sz w:val="24"/>
          <w:szCs w:val="24"/>
        </w:rPr>
      </w:pPr>
    </w:p>
    <w:p w14:paraId="1E61D4B7">
      <w:pPr>
        <w:jc w:val="center"/>
        <w:rPr>
          <w:rFonts w:hint="eastAsia" w:ascii="宋体" w:hAnsi="宋体"/>
          <w:color w:val="auto"/>
          <w:sz w:val="28"/>
          <w:szCs w:val="28"/>
        </w:rPr>
      </w:pPr>
    </w:p>
    <w:p w14:paraId="47346FE8">
      <w:pPr>
        <w:rPr>
          <w:rFonts w:hint="eastAsia" w:ascii="方正仿宋_GBK" w:eastAsia="方正仿宋_GBK"/>
          <w:color w:val="auto"/>
          <w:sz w:val="24"/>
        </w:rPr>
      </w:pPr>
    </w:p>
    <w:p w14:paraId="4D3B9259">
      <w:pPr>
        <w:tabs>
          <w:tab w:val="left" w:pos="9000"/>
        </w:tabs>
        <w:spacing w:line="276" w:lineRule="auto"/>
        <w:jc w:val="center"/>
        <w:rPr>
          <w:rFonts w:hint="eastAsia" w:ascii="方正仿宋_GBK" w:eastAsia="方正仿宋_GBK"/>
          <w:color w:val="auto"/>
          <w:sz w:val="21"/>
          <w:szCs w:val="21"/>
        </w:rPr>
        <w:sectPr>
          <w:footerReference r:id="rId21" w:type="default"/>
          <w:footerReference r:id="rId22" w:type="even"/>
          <w:pgSz w:w="11907" w:h="16840"/>
          <w:pgMar w:top="1134" w:right="1191" w:bottom="1134" w:left="1304" w:header="964" w:footer="992" w:gutter="0"/>
          <w:pgNumType w:fmt="numberInDash"/>
          <w:cols w:space="720" w:num="1"/>
          <w:docGrid w:linePitch="312" w:charSpace="0"/>
        </w:sectPr>
      </w:pPr>
    </w:p>
    <w:p w14:paraId="29BFB191">
      <w:pPr>
        <w:pStyle w:val="3"/>
        <w:spacing w:before="0" w:after="0" w:line="360" w:lineRule="auto"/>
        <w:jc w:val="center"/>
        <w:rPr>
          <w:rFonts w:hint="eastAsia" w:ascii="方正小标宋_GBK" w:hAnsi="宋体" w:eastAsia="方正小标宋_GBK"/>
          <w:b w:val="0"/>
          <w:color w:val="auto"/>
          <w:sz w:val="36"/>
          <w:szCs w:val="30"/>
        </w:rPr>
      </w:pPr>
      <w:bookmarkStart w:id="107" w:name="_Hlt41879464"/>
      <w:bookmarkEnd w:id="107"/>
      <w:bookmarkStart w:id="108" w:name="_Toc76462349"/>
      <w:bookmarkStart w:id="109" w:name="_Toc106030905"/>
      <w:r>
        <w:rPr>
          <w:rFonts w:hint="eastAsia" w:ascii="方正小标宋_GBK" w:hAnsi="宋体" w:eastAsia="方正小标宋_GBK"/>
          <w:b w:val="0"/>
          <w:color w:val="auto"/>
          <w:sz w:val="36"/>
          <w:szCs w:val="30"/>
        </w:rPr>
        <w:t>第七篇  响应文件编制要求</w:t>
      </w:r>
      <w:bookmarkEnd w:id="108"/>
      <w:bookmarkEnd w:id="109"/>
    </w:p>
    <w:p w14:paraId="2FB2DF56">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一、经济部分</w:t>
      </w:r>
    </w:p>
    <w:p w14:paraId="6AEFB6C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（一）报价函</w:t>
      </w:r>
    </w:p>
    <w:p w14:paraId="29E7B38D">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（二）明细报价表（格式自定）</w:t>
      </w:r>
    </w:p>
    <w:p w14:paraId="1C3AC35E">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二、</w:t>
      </w:r>
      <w:r>
        <w:rPr>
          <w:rFonts w:hint="eastAsia" w:ascii="方正仿宋_GBK" w:hAnsi="宋体" w:eastAsia="方正仿宋_GBK"/>
          <w:color w:val="auto"/>
          <w:sz w:val="24"/>
          <w:szCs w:val="24"/>
          <w:lang w:eastAsia="zh-CN"/>
        </w:rPr>
        <w:t>服务部分</w:t>
      </w:r>
    </w:p>
    <w:p w14:paraId="60FFB879">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响应偏离表</w:t>
      </w:r>
    </w:p>
    <w:p w14:paraId="62A71FD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（二）其他资料（格式自定）</w:t>
      </w:r>
    </w:p>
    <w:p w14:paraId="5FB6C9E4">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三、商务</w:t>
      </w:r>
      <w:r>
        <w:rPr>
          <w:rFonts w:hint="eastAsia" w:ascii="方正仿宋_GBK" w:hAnsi="宋体" w:eastAsia="方正仿宋_GBK"/>
          <w:color w:val="auto"/>
          <w:sz w:val="24"/>
          <w:szCs w:val="24"/>
          <w:lang w:eastAsia="zh-CN"/>
        </w:rPr>
        <w:t>部分</w:t>
      </w:r>
    </w:p>
    <w:p w14:paraId="5457C9A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（一）商务响应偏离表</w:t>
      </w:r>
    </w:p>
    <w:p w14:paraId="0414EF9D">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（二）其它优惠服务承诺（格式自定）</w:t>
      </w:r>
    </w:p>
    <w:p w14:paraId="7701CD28">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四、资格条件及其他</w:t>
      </w:r>
    </w:p>
    <w:p w14:paraId="7F9A08E1">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（一）法人营业执照（副本）或事业单位法人证书（副本）或个体工商户营业执照或有效的自然人身份证明或社会团体法人登记证书复印件</w:t>
      </w:r>
    </w:p>
    <w:p w14:paraId="012C76E1">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（二）法定代表人身份证明书（格式）</w:t>
      </w:r>
    </w:p>
    <w:p w14:paraId="66288B13">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（三）法定代表人授权委托书（格式）</w:t>
      </w:r>
    </w:p>
    <w:p w14:paraId="760BDA0D">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（四）基本资格条件承诺函（格式）</w:t>
      </w:r>
    </w:p>
    <w:p w14:paraId="39682377">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（五）特定资格条件证书或证明文件</w:t>
      </w:r>
    </w:p>
    <w:p w14:paraId="4F82E820">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五、其他资料</w:t>
      </w:r>
    </w:p>
    <w:p w14:paraId="1864E394">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）其他与项目有关的资料（自附）</w:t>
      </w:r>
    </w:p>
    <w:p w14:paraId="1E973BCD">
      <w:pPr>
        <w:snapToGrid w:val="0"/>
        <w:spacing w:line="360" w:lineRule="auto"/>
        <w:rPr>
          <w:rFonts w:ascii="宋体" w:hAnsi="宋体"/>
          <w:color w:val="auto"/>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64874DFE">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10" w:name="_Toc313008356"/>
      <w:bookmarkStart w:id="111" w:name="_Toc313888360"/>
      <w:bookmarkStart w:id="112" w:name="_Toc76462350"/>
      <w:bookmarkStart w:id="113" w:name="_Toc106030906"/>
      <w:bookmarkStart w:id="114" w:name="_Toc342913419"/>
      <w:bookmarkStart w:id="115" w:name="_Toc283382454"/>
      <w:bookmarkStart w:id="116" w:name="_Toc12789073"/>
      <w:r>
        <w:rPr>
          <w:rFonts w:hint="eastAsia" w:ascii="方正仿宋_GBK" w:hAnsi="宋体" w:eastAsia="方正仿宋_GBK"/>
          <w:color w:val="auto"/>
          <w:sz w:val="24"/>
        </w:rPr>
        <w:t>一、经济部分</w:t>
      </w:r>
      <w:bookmarkEnd w:id="110"/>
      <w:bookmarkEnd w:id="111"/>
      <w:bookmarkEnd w:id="112"/>
      <w:bookmarkEnd w:id="113"/>
      <w:bookmarkEnd w:id="114"/>
    </w:p>
    <w:bookmarkEnd w:id="115"/>
    <w:bookmarkEnd w:id="116"/>
    <w:p w14:paraId="3875EB7F">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（一）报价函</w:t>
      </w:r>
    </w:p>
    <w:p w14:paraId="28933487">
      <w:pPr>
        <w:jc w:val="center"/>
        <w:rPr>
          <w:rFonts w:hint="eastAsia" w:ascii="方正仿宋_GBK" w:eastAsia="方正仿宋_GBK"/>
          <w:b/>
          <w:color w:val="auto"/>
          <w:szCs w:val="28"/>
        </w:rPr>
      </w:pPr>
      <w:r>
        <w:rPr>
          <w:rFonts w:hint="eastAsia" w:ascii="方正仿宋_GBK" w:eastAsia="方正仿宋_GBK"/>
          <w:b/>
          <w:color w:val="auto"/>
          <w:szCs w:val="28"/>
        </w:rPr>
        <w:t>报价函</w:t>
      </w:r>
    </w:p>
    <w:p w14:paraId="2A08DD8F">
      <w:pPr>
        <w:tabs>
          <w:tab w:val="left" w:pos="6300"/>
        </w:tabs>
        <w:snapToGrid w:val="0"/>
        <w:spacing w:line="312" w:lineRule="auto"/>
        <w:rPr>
          <w:rFonts w:hint="eastAsia" w:ascii="方正仿宋_GBK" w:hAnsi="宋体" w:eastAsia="方正仿宋_GBK"/>
          <w:color w:val="auto"/>
          <w:sz w:val="24"/>
          <w:szCs w:val="24"/>
        </w:rPr>
      </w:pPr>
      <w:r>
        <w:rPr>
          <w:rFonts w:hint="eastAsia" w:ascii="方正仿宋_GBK" w:hAnsi="宋体" w:eastAsia="方正仿宋_GBK"/>
          <w:color w:val="auto"/>
          <w:sz w:val="24"/>
          <w:szCs w:val="24"/>
          <w:u w:val="single"/>
        </w:rPr>
        <w:t>（采购人或采购代理机构名称））</w:t>
      </w:r>
      <w:r>
        <w:rPr>
          <w:rFonts w:hint="eastAsia" w:ascii="方正仿宋_GBK" w:hAnsi="宋体" w:eastAsia="方正仿宋_GBK"/>
          <w:color w:val="auto"/>
          <w:sz w:val="24"/>
          <w:szCs w:val="24"/>
        </w:rPr>
        <w:t>：</w:t>
      </w:r>
    </w:p>
    <w:p w14:paraId="725174FB">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我方收到____________________________（项目名称）的限额以下磋商评分文件，经详细研究，决定参加该项目的竞争。</w:t>
      </w:r>
    </w:p>
    <w:p w14:paraId="564EE8D0">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1.愿意按照限额以下磋商评分文件中的一切要求，提供本项目的服务，初始报价为人民币大写：</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元整；人民币小写：</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元。以我公司最后报价为准。</w:t>
      </w:r>
    </w:p>
    <w:p w14:paraId="3D949B25">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2.我方现提交的响应文件为：响应文件正本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份，副本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w:t>
      </w:r>
    </w:p>
    <w:p w14:paraId="5A7411E6">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3.我方承诺：本次限额以下磋商评分的有效期为提交响应文件截止时间起90天。</w:t>
      </w:r>
    </w:p>
    <w:p w14:paraId="12E3AEF7">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4.我方完全理解和接受贵方限额以下磋商评分文件的一切规定和要求及评审办法。</w:t>
      </w:r>
    </w:p>
    <w:p w14:paraId="715458D0">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5.在整个限额以下磋商评分过程中，我方若有违规行为，接受按照《中华人民共和国政府采购法》和《限额以下磋商评分文件》之规定给予惩罚。</w:t>
      </w:r>
    </w:p>
    <w:p w14:paraId="09081072">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6.我方若成为成交供应商，将按照最终磋商结果签订合同，并且严格履行合同义务。本承诺函将成为合同不可分割的一部分，与合同具有同等的法律效力。</w:t>
      </w:r>
    </w:p>
    <w:p w14:paraId="58F146BE">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7.如果我方成为成交供应商，保证在接到成交通知书后，向采购代理机构</w:t>
      </w:r>
      <w:r>
        <w:rPr>
          <w:rFonts w:hint="eastAsia" w:ascii="方正仿宋_GBK" w:hAnsi="宋体" w:eastAsia="方正仿宋_GBK"/>
          <w:color w:val="auto"/>
          <w:sz w:val="24"/>
        </w:rPr>
        <w:t>缴纳</w:t>
      </w:r>
      <w:r>
        <w:rPr>
          <w:rFonts w:hint="eastAsia" w:ascii="方正仿宋_GBK" w:hAnsi="宋体" w:eastAsia="方正仿宋_GBK"/>
          <w:color w:val="auto"/>
          <w:sz w:val="24"/>
          <w:szCs w:val="24"/>
        </w:rPr>
        <w:t>采购文件规定的采购代理服务费。</w:t>
      </w:r>
    </w:p>
    <w:p w14:paraId="6A776193">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8.</w:t>
      </w:r>
      <w:r>
        <w:rPr>
          <w:rFonts w:hint="eastAsia" w:ascii="方正仿宋_GBK" w:hAnsi="宋体" w:eastAsia="方正仿宋_GBK"/>
          <w:color w:val="auto"/>
          <w:sz w:val="24"/>
          <w:szCs w:val="28"/>
        </w:rPr>
        <w:t>我方未</w:t>
      </w:r>
      <w:r>
        <w:rPr>
          <w:rFonts w:ascii="方正仿宋_GBK" w:hAnsi="宋体" w:eastAsia="方正仿宋_GBK"/>
          <w:color w:val="auto"/>
          <w:sz w:val="24"/>
          <w:szCs w:val="24"/>
        </w:rPr>
        <w:t>为采购项目提供整体设计、规范编制或者项目管理、监理、检测等服务。</w:t>
      </w:r>
    </w:p>
    <w:p w14:paraId="1E52B262">
      <w:pPr>
        <w:tabs>
          <w:tab w:val="left" w:pos="6300"/>
        </w:tabs>
        <w:snapToGrid w:val="0"/>
        <w:spacing w:line="312" w:lineRule="auto"/>
        <w:ind w:firstLine="570"/>
        <w:rPr>
          <w:rFonts w:hint="eastAsia" w:ascii="方正仿宋_GBK" w:hAnsi="宋体" w:eastAsia="方正仿宋_GBK"/>
          <w:color w:val="auto"/>
          <w:sz w:val="24"/>
          <w:szCs w:val="24"/>
        </w:rPr>
      </w:pPr>
    </w:p>
    <w:p w14:paraId="6CB8C679">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供应商（公章）或自然人签署：</w:t>
      </w:r>
    </w:p>
    <w:p w14:paraId="3EA75197">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地址：  </w:t>
      </w:r>
    </w:p>
    <w:p w14:paraId="0A267D4A">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电话：                                             传真：</w:t>
      </w:r>
    </w:p>
    <w:p w14:paraId="4213912D">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网址：                                             邮编：</w:t>
      </w:r>
    </w:p>
    <w:p w14:paraId="40DF5FC2">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联系人：</w:t>
      </w:r>
    </w:p>
    <w:p w14:paraId="03DC774A">
      <w:pPr>
        <w:snapToGrid w:val="0"/>
        <w:spacing w:line="312" w:lineRule="auto"/>
        <w:ind w:firstLine="480" w:firstLineChars="200"/>
        <w:rPr>
          <w:rFonts w:hint="eastAsia" w:ascii="方正仿宋_GBK" w:hAnsi="宋体" w:eastAsia="方正仿宋_GBK"/>
          <w:color w:val="auto"/>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szCs w:val="24"/>
        </w:rPr>
        <w:t xml:space="preserve">                                                  年   月   日</w:t>
      </w:r>
    </w:p>
    <w:p w14:paraId="514D91F9">
      <w:pPr>
        <w:tabs>
          <w:tab w:val="left" w:pos="2895"/>
        </w:tabs>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（二）明细报价表（格式自定）</w:t>
      </w:r>
    </w:p>
    <w:p w14:paraId="6E9D83FF">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                              </w:t>
      </w:r>
    </w:p>
    <w:p w14:paraId="7F62685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br w:type="page"/>
      </w:r>
    </w:p>
    <w:p w14:paraId="10F35D82">
      <w:pPr>
        <w:pStyle w:val="3"/>
        <w:adjustRightInd w:val="0"/>
        <w:snapToGrid w:val="0"/>
        <w:spacing w:before="0" w:after="0" w:line="400" w:lineRule="exact"/>
        <w:ind w:firstLine="480" w:firstLineChars="200"/>
        <w:rPr>
          <w:rFonts w:hint="eastAsia" w:ascii="方正仿宋_GBK" w:hAnsi="宋体" w:eastAsia="方正仿宋_GBK"/>
          <w:color w:val="auto"/>
          <w:sz w:val="24"/>
        </w:rPr>
      </w:pPr>
      <w:bookmarkStart w:id="117" w:name="_Toc313008357"/>
      <w:bookmarkStart w:id="118" w:name="_Toc76462351"/>
      <w:bookmarkStart w:id="119" w:name="_Toc342913420"/>
      <w:bookmarkStart w:id="120" w:name="_Toc313888361"/>
      <w:bookmarkStart w:id="121" w:name="_Toc106030907"/>
      <w:r>
        <w:rPr>
          <w:rFonts w:hint="eastAsia" w:ascii="方正仿宋_GBK" w:hAnsi="宋体" w:eastAsia="方正仿宋_GBK"/>
          <w:color w:val="auto"/>
          <w:sz w:val="24"/>
        </w:rPr>
        <w:t>二、服务部分</w:t>
      </w:r>
      <w:bookmarkEnd w:id="117"/>
      <w:bookmarkEnd w:id="118"/>
      <w:bookmarkEnd w:id="119"/>
      <w:bookmarkEnd w:id="120"/>
      <w:bookmarkEnd w:id="121"/>
    </w:p>
    <w:p w14:paraId="2CE396C0">
      <w:pPr>
        <w:tabs>
          <w:tab w:val="left" w:pos="6300"/>
        </w:tabs>
        <w:snapToGrid w:val="0"/>
        <w:spacing w:line="400" w:lineRule="exact"/>
        <w:ind w:firstLine="480" w:firstLineChars="200"/>
        <w:rPr>
          <w:rFonts w:hint="eastAsia" w:ascii="方正仿宋_GBK" w:hAnsi="宋体" w:eastAsia="方正仿宋_GBK"/>
          <w:color w:val="auto"/>
          <w:szCs w:val="24"/>
        </w:rPr>
      </w:pPr>
      <w:r>
        <w:rPr>
          <w:rFonts w:hint="eastAsia" w:ascii="方正仿宋_GBK" w:hAnsi="宋体" w:eastAsia="方正仿宋_GBK"/>
          <w:color w:val="auto"/>
          <w:sz w:val="24"/>
          <w:szCs w:val="24"/>
        </w:rPr>
        <w:t xml:space="preserve">（一）服务响应偏离表                                </w:t>
      </w:r>
    </w:p>
    <w:p w14:paraId="017E4416">
      <w:pPr>
        <w:spacing w:line="400" w:lineRule="exact"/>
        <w:ind w:firstLine="480" w:firstLineChars="200"/>
        <w:rPr>
          <w:rFonts w:hint="eastAsia" w:ascii="方正仿宋_GBK" w:hAnsi="宋体" w:eastAsia="方正仿宋_GBK"/>
          <w:color w:val="auto"/>
          <w:sz w:val="24"/>
          <w:szCs w:val="24"/>
        </w:rPr>
      </w:pPr>
    </w:p>
    <w:p w14:paraId="494C628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项目名称：</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2683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noWrap w:val="0"/>
            <w:vAlign w:val="center"/>
          </w:tcPr>
          <w:p w14:paraId="3CD08F58">
            <w:pPr>
              <w:tabs>
                <w:tab w:val="left" w:pos="6300"/>
              </w:tabs>
              <w:snapToGrid w:val="0"/>
              <w:spacing w:line="500" w:lineRule="exact"/>
              <w:jc w:val="center"/>
              <w:outlineLvl w:val="0"/>
              <w:rPr>
                <w:rFonts w:hint="eastAsia" w:ascii="方正仿宋_GBK" w:hAnsi="宋体" w:eastAsia="方正仿宋_GBK"/>
                <w:color w:val="auto"/>
                <w:sz w:val="21"/>
                <w:szCs w:val="21"/>
              </w:rPr>
            </w:pPr>
            <w:r>
              <w:rPr>
                <w:rFonts w:hint="eastAsia" w:ascii="方正仿宋_GBK" w:hAnsi="宋体" w:eastAsia="方正仿宋_GBK"/>
                <w:color w:val="auto"/>
                <w:sz w:val="21"/>
                <w:szCs w:val="21"/>
              </w:rPr>
              <w:t>序号</w:t>
            </w:r>
          </w:p>
        </w:tc>
        <w:tc>
          <w:tcPr>
            <w:tcW w:w="1541" w:type="pct"/>
            <w:noWrap w:val="0"/>
            <w:vAlign w:val="center"/>
          </w:tcPr>
          <w:p w14:paraId="0069F07F">
            <w:pPr>
              <w:tabs>
                <w:tab w:val="left" w:pos="6300"/>
              </w:tabs>
              <w:snapToGrid w:val="0"/>
              <w:spacing w:line="500" w:lineRule="exact"/>
              <w:jc w:val="center"/>
              <w:outlineLvl w:val="0"/>
              <w:rPr>
                <w:rFonts w:hint="eastAsia" w:ascii="方正仿宋_GBK" w:hAnsi="宋体" w:eastAsia="方正仿宋_GBK"/>
                <w:color w:val="auto"/>
                <w:sz w:val="21"/>
                <w:szCs w:val="21"/>
              </w:rPr>
            </w:pPr>
            <w:r>
              <w:rPr>
                <w:rFonts w:hint="eastAsia" w:ascii="方正仿宋_GBK" w:hAnsi="宋体" w:eastAsia="方正仿宋_GBK"/>
                <w:color w:val="auto"/>
                <w:sz w:val="21"/>
                <w:szCs w:val="21"/>
              </w:rPr>
              <w:t>采购需求</w:t>
            </w:r>
          </w:p>
        </w:tc>
        <w:tc>
          <w:tcPr>
            <w:tcW w:w="1600" w:type="pct"/>
            <w:noWrap w:val="0"/>
            <w:vAlign w:val="center"/>
          </w:tcPr>
          <w:p w14:paraId="02743A1F">
            <w:pPr>
              <w:tabs>
                <w:tab w:val="left" w:pos="6300"/>
              </w:tabs>
              <w:snapToGrid w:val="0"/>
              <w:spacing w:line="500" w:lineRule="exact"/>
              <w:jc w:val="center"/>
              <w:outlineLvl w:val="0"/>
              <w:rPr>
                <w:rFonts w:hint="eastAsia" w:ascii="方正仿宋_GBK" w:hAnsi="宋体" w:eastAsia="方正仿宋_GBK"/>
                <w:color w:val="auto"/>
                <w:sz w:val="21"/>
                <w:szCs w:val="21"/>
              </w:rPr>
            </w:pPr>
            <w:r>
              <w:rPr>
                <w:rFonts w:hint="eastAsia" w:ascii="方正仿宋_GBK" w:hAnsi="宋体" w:eastAsia="方正仿宋_GBK"/>
                <w:color w:val="auto"/>
                <w:sz w:val="21"/>
                <w:szCs w:val="21"/>
              </w:rPr>
              <w:t>响应情况</w:t>
            </w:r>
          </w:p>
        </w:tc>
        <w:tc>
          <w:tcPr>
            <w:tcW w:w="1199" w:type="pct"/>
            <w:noWrap w:val="0"/>
            <w:vAlign w:val="center"/>
          </w:tcPr>
          <w:p w14:paraId="399A6F5F">
            <w:pPr>
              <w:tabs>
                <w:tab w:val="left" w:pos="6300"/>
              </w:tabs>
              <w:snapToGrid w:val="0"/>
              <w:spacing w:line="500" w:lineRule="exact"/>
              <w:jc w:val="center"/>
              <w:outlineLvl w:val="0"/>
              <w:rPr>
                <w:rFonts w:hint="eastAsia" w:ascii="方正仿宋_GBK" w:hAnsi="宋体" w:eastAsia="方正仿宋_GBK"/>
                <w:color w:val="auto"/>
                <w:sz w:val="21"/>
                <w:szCs w:val="21"/>
              </w:rPr>
            </w:pPr>
            <w:r>
              <w:rPr>
                <w:rFonts w:hint="eastAsia" w:ascii="方正仿宋_GBK" w:hAnsi="宋体" w:eastAsia="方正仿宋_GBK"/>
                <w:color w:val="auto"/>
                <w:sz w:val="21"/>
                <w:szCs w:val="21"/>
              </w:rPr>
              <w:t>差异说明</w:t>
            </w:r>
          </w:p>
        </w:tc>
      </w:tr>
      <w:tr w14:paraId="7665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3A29F1B5">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47BA0A89">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203E3C37">
            <w:pPr>
              <w:tabs>
                <w:tab w:val="left" w:pos="6300"/>
              </w:tabs>
              <w:snapToGrid w:val="0"/>
              <w:spacing w:line="500" w:lineRule="exact"/>
              <w:outlineLvl w:val="0"/>
              <w:rPr>
                <w:rFonts w:hint="eastAsia" w:ascii="方正仿宋_GBK" w:hAnsi="宋体" w:eastAsia="方正仿宋_GBK"/>
                <w:color w:val="auto"/>
                <w:sz w:val="21"/>
                <w:szCs w:val="21"/>
              </w:rPr>
            </w:pPr>
            <w:r>
              <w:rPr>
                <w:rFonts w:ascii="方正仿宋_GBK" w:hAnsi="仿宋" w:eastAsia="方正仿宋_GBK"/>
                <w:color w:val="auto"/>
                <w:sz w:val="21"/>
                <w:szCs w:val="21"/>
              </w:rPr>
              <w:t>提醒</w:t>
            </w:r>
            <w:r>
              <w:rPr>
                <w:rFonts w:hint="eastAsia" w:ascii="方正仿宋_GBK" w:hAnsi="仿宋" w:eastAsia="方正仿宋_GBK"/>
                <w:color w:val="auto"/>
                <w:sz w:val="21"/>
                <w:szCs w:val="21"/>
              </w:rPr>
              <w:t>：</w:t>
            </w:r>
            <w:r>
              <w:rPr>
                <w:rFonts w:ascii="方正仿宋_GBK" w:hAnsi="仿宋" w:eastAsia="方正仿宋_GBK"/>
                <w:color w:val="auto"/>
                <w:sz w:val="21"/>
                <w:szCs w:val="21"/>
              </w:rPr>
              <w:t>请注明</w:t>
            </w:r>
            <w:r>
              <w:rPr>
                <w:rFonts w:hint="eastAsia" w:ascii="方正仿宋_GBK" w:hAnsi="仿宋" w:eastAsia="方正仿宋_GBK"/>
                <w:color w:val="auto"/>
                <w:sz w:val="21"/>
                <w:szCs w:val="21"/>
              </w:rPr>
              <w:t>技术参数</w:t>
            </w:r>
            <w:r>
              <w:rPr>
                <w:rFonts w:ascii="方正仿宋_GBK" w:hAnsi="仿宋" w:eastAsia="方正仿宋_GBK"/>
                <w:color w:val="auto"/>
                <w:sz w:val="21"/>
                <w:szCs w:val="21"/>
              </w:rPr>
              <w:t>或具体内容以及</w:t>
            </w:r>
            <w:r>
              <w:rPr>
                <w:rFonts w:hint="eastAsia" w:ascii="方正仿宋_GBK" w:hAnsi="仿宋" w:eastAsia="方正仿宋_GBK"/>
                <w:color w:val="auto"/>
                <w:sz w:val="21"/>
                <w:szCs w:val="21"/>
              </w:rPr>
              <w:t>响应文件</w:t>
            </w:r>
            <w:r>
              <w:rPr>
                <w:rFonts w:ascii="方正仿宋_GBK" w:hAnsi="仿宋" w:eastAsia="方正仿宋_GBK"/>
                <w:color w:val="auto"/>
                <w:sz w:val="21"/>
                <w:szCs w:val="21"/>
              </w:rPr>
              <w:t>中</w:t>
            </w:r>
            <w:r>
              <w:rPr>
                <w:rFonts w:hint="eastAsia" w:ascii="方正仿宋_GBK" w:hAnsi="仿宋" w:eastAsia="方正仿宋_GBK"/>
                <w:color w:val="auto"/>
                <w:sz w:val="21"/>
                <w:szCs w:val="21"/>
              </w:rPr>
              <w:t>技术参数</w:t>
            </w:r>
            <w:r>
              <w:rPr>
                <w:rFonts w:ascii="方正仿宋_GBK" w:hAnsi="仿宋" w:eastAsia="方正仿宋_GBK"/>
                <w:color w:val="auto"/>
                <w:sz w:val="21"/>
                <w:szCs w:val="21"/>
              </w:rPr>
              <w:t>或</w:t>
            </w:r>
            <w:r>
              <w:rPr>
                <w:rFonts w:hint="eastAsia" w:ascii="方正仿宋_GBK" w:hAnsi="仿宋" w:eastAsia="方正仿宋_GBK"/>
                <w:color w:val="auto"/>
                <w:sz w:val="21"/>
                <w:szCs w:val="21"/>
              </w:rPr>
              <w:t>具体</w:t>
            </w:r>
            <w:r>
              <w:rPr>
                <w:rFonts w:ascii="方正仿宋_GBK" w:hAnsi="仿宋" w:eastAsia="方正仿宋_GBK"/>
                <w:color w:val="auto"/>
                <w:sz w:val="21"/>
                <w:szCs w:val="21"/>
              </w:rPr>
              <w:t>内容</w:t>
            </w:r>
            <w:r>
              <w:rPr>
                <w:rFonts w:hint="eastAsia" w:ascii="方正仿宋_GBK" w:hAnsi="仿宋" w:eastAsia="方正仿宋_GBK"/>
                <w:color w:val="auto"/>
                <w:sz w:val="21"/>
                <w:szCs w:val="21"/>
              </w:rPr>
              <w:t>的</w:t>
            </w:r>
            <w:r>
              <w:rPr>
                <w:rFonts w:ascii="方正仿宋_GBK" w:hAnsi="仿宋" w:eastAsia="方正仿宋_GBK"/>
                <w:color w:val="auto"/>
                <w:sz w:val="21"/>
                <w:szCs w:val="21"/>
              </w:rPr>
              <w:t>位置（</w:t>
            </w:r>
            <w:r>
              <w:rPr>
                <w:rFonts w:hint="eastAsia" w:ascii="方正仿宋_GBK" w:hAnsi="仿宋" w:eastAsia="方正仿宋_GBK"/>
                <w:color w:val="auto"/>
                <w:sz w:val="21"/>
                <w:szCs w:val="21"/>
              </w:rPr>
              <w:t>页码</w:t>
            </w:r>
            <w:r>
              <w:rPr>
                <w:rFonts w:ascii="方正仿宋_GBK" w:hAnsi="仿宋" w:eastAsia="方正仿宋_GBK"/>
                <w:color w:val="auto"/>
                <w:sz w:val="21"/>
                <w:szCs w:val="21"/>
              </w:rPr>
              <w:t>）</w:t>
            </w:r>
          </w:p>
        </w:tc>
        <w:tc>
          <w:tcPr>
            <w:tcW w:w="1199" w:type="pct"/>
            <w:noWrap w:val="0"/>
            <w:vAlign w:val="center"/>
          </w:tcPr>
          <w:p w14:paraId="526EBAC0">
            <w:pPr>
              <w:tabs>
                <w:tab w:val="left" w:pos="6300"/>
              </w:tabs>
              <w:snapToGrid w:val="0"/>
              <w:spacing w:line="500" w:lineRule="exact"/>
              <w:jc w:val="center"/>
              <w:outlineLvl w:val="0"/>
              <w:rPr>
                <w:rFonts w:hint="eastAsia" w:ascii="方正仿宋_GBK" w:hAnsi="宋体" w:eastAsia="方正仿宋_GBK"/>
                <w:color w:val="auto"/>
                <w:sz w:val="21"/>
                <w:szCs w:val="21"/>
              </w:rPr>
            </w:pPr>
            <w:r>
              <w:rPr>
                <w:rFonts w:hint="eastAsia" w:ascii="方正仿宋_GBK" w:hAnsi="仿宋" w:eastAsia="方正仿宋_GBK"/>
                <w:color w:val="auto"/>
                <w:sz w:val="21"/>
                <w:szCs w:val="21"/>
              </w:rPr>
              <w:t>提醒：请注明响应情况与采购需求的差异情况：正偏离、负偏离或者无差异</w:t>
            </w:r>
          </w:p>
        </w:tc>
      </w:tr>
      <w:tr w14:paraId="46F1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2E0B9FFE">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734253B6">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1899C12B">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4A811324">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0A05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5AE280C1">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02C78615">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4E130FDE">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04CF0024">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1A15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76B006A1">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4FCF3146">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1AE33897">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1658972F">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77C4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0F2E19DE">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7F809229">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43AC7122">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34653052">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67AE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616B310C">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6DD856E8">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2763184B">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5FF3CC6F">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42A9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066B9E23">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4FAEC1EC">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64FC5474">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1D5B0B77">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5377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43322095">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332AF0B8">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67C16A71">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4FDD47E2">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4E5F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581C24FE">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32FB46F6">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30BFDB3F">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0FC63DA6">
            <w:pPr>
              <w:tabs>
                <w:tab w:val="left" w:pos="6300"/>
              </w:tabs>
              <w:snapToGrid w:val="0"/>
              <w:spacing w:line="500" w:lineRule="exact"/>
              <w:jc w:val="center"/>
              <w:outlineLvl w:val="0"/>
              <w:rPr>
                <w:rFonts w:hint="eastAsia" w:ascii="方正仿宋_GBK" w:hAnsi="宋体" w:eastAsia="方正仿宋_GBK"/>
                <w:color w:val="auto"/>
                <w:sz w:val="21"/>
                <w:szCs w:val="21"/>
              </w:rPr>
            </w:pPr>
          </w:p>
        </w:tc>
      </w:tr>
      <w:tr w14:paraId="359B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2A79B3E6">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541" w:type="pct"/>
            <w:noWrap w:val="0"/>
            <w:vAlign w:val="center"/>
          </w:tcPr>
          <w:p w14:paraId="0C1C9FC6">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600" w:type="pct"/>
            <w:noWrap w:val="0"/>
            <w:vAlign w:val="center"/>
          </w:tcPr>
          <w:p w14:paraId="5E94462E">
            <w:pPr>
              <w:tabs>
                <w:tab w:val="left" w:pos="6300"/>
              </w:tabs>
              <w:snapToGrid w:val="0"/>
              <w:spacing w:line="500" w:lineRule="exact"/>
              <w:jc w:val="center"/>
              <w:outlineLvl w:val="0"/>
              <w:rPr>
                <w:rFonts w:hint="eastAsia" w:ascii="方正仿宋_GBK" w:hAnsi="宋体" w:eastAsia="方正仿宋_GBK"/>
                <w:color w:val="auto"/>
                <w:sz w:val="21"/>
                <w:szCs w:val="21"/>
              </w:rPr>
            </w:pPr>
          </w:p>
        </w:tc>
        <w:tc>
          <w:tcPr>
            <w:tcW w:w="1199" w:type="pct"/>
            <w:noWrap w:val="0"/>
            <w:vAlign w:val="center"/>
          </w:tcPr>
          <w:p w14:paraId="22693F09">
            <w:pPr>
              <w:tabs>
                <w:tab w:val="left" w:pos="6300"/>
              </w:tabs>
              <w:snapToGrid w:val="0"/>
              <w:spacing w:line="500" w:lineRule="exact"/>
              <w:jc w:val="center"/>
              <w:outlineLvl w:val="0"/>
              <w:rPr>
                <w:rFonts w:hint="eastAsia" w:ascii="方正仿宋_GBK" w:hAnsi="宋体" w:eastAsia="方正仿宋_GBK"/>
                <w:color w:val="auto"/>
                <w:sz w:val="21"/>
                <w:szCs w:val="21"/>
              </w:rPr>
            </w:pPr>
          </w:p>
        </w:tc>
      </w:tr>
    </w:tbl>
    <w:p w14:paraId="0BA6C95C">
      <w:pPr>
        <w:spacing w:line="500" w:lineRule="exact"/>
        <w:ind w:firstLine="600" w:firstLineChars="2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p>
    <w:p w14:paraId="12F288EB">
      <w:pPr>
        <w:spacing w:line="500" w:lineRule="exact"/>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14:paraId="11C7F8D9">
      <w:pPr>
        <w:spacing w:line="500" w:lineRule="exact"/>
        <w:ind w:firstLine="720" w:firstLineChars="30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（供应商公章）                               （签署或盖章）</w:t>
      </w:r>
    </w:p>
    <w:p w14:paraId="5F39F320">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14:paraId="29AF3E7D">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注：</w:t>
      </w:r>
    </w:p>
    <w:p w14:paraId="3E216A66">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本表即为对本项目“第二篇  项目服务需求”中所列条款进行比较和响应；</w:t>
      </w:r>
    </w:p>
    <w:p w14:paraId="3593C90A">
      <w:pPr>
        <w:snapToGrid w:val="0"/>
        <w:spacing w:line="400" w:lineRule="exact"/>
        <w:ind w:firstLine="480" w:firstLineChars="200"/>
        <w:jc w:val="left"/>
        <w:rPr>
          <w:rFonts w:hint="eastAsia" w:ascii="方正仿宋_GBK" w:hAnsi="宋体" w:eastAsia="方正仿宋_GBK"/>
          <w:color w:val="auto"/>
          <w:sz w:val="24"/>
          <w:szCs w:val="24"/>
        </w:rPr>
      </w:pPr>
      <w:r>
        <w:rPr>
          <w:rFonts w:hint="eastAsia" w:ascii="方正仿宋_GBK" w:hAnsi="宋体" w:eastAsia="方正仿宋_GBK"/>
          <w:color w:val="auto"/>
          <w:sz w:val="24"/>
        </w:rPr>
        <w:t>2.本表可扩展。</w:t>
      </w:r>
    </w:p>
    <w:p w14:paraId="1D59E973">
      <w:pPr>
        <w:tabs>
          <w:tab w:val="left" w:pos="6300"/>
        </w:tabs>
        <w:snapToGrid w:val="0"/>
        <w:spacing w:line="400" w:lineRule="exact"/>
        <w:ind w:firstLine="560" w:firstLineChars="200"/>
        <w:rPr>
          <w:rFonts w:hint="eastAsia" w:ascii="方正仿宋_GBK" w:hAnsi="宋体" w:eastAsia="方正仿宋_GBK"/>
          <w:color w:val="auto"/>
          <w:szCs w:val="24"/>
        </w:rPr>
      </w:pPr>
      <w:r>
        <w:rPr>
          <w:rFonts w:ascii="方正仿宋_GBK" w:hAnsi="宋体" w:eastAsia="方正仿宋_GBK"/>
          <w:color w:val="auto"/>
          <w:szCs w:val="24"/>
        </w:rPr>
        <w:br w:type="page"/>
      </w:r>
      <w:r>
        <w:rPr>
          <w:rFonts w:hint="eastAsia" w:ascii="方正仿宋_GBK" w:hAnsi="宋体" w:eastAsia="方正仿宋_GBK"/>
          <w:color w:val="auto"/>
          <w:sz w:val="24"/>
          <w:szCs w:val="24"/>
        </w:rPr>
        <w:t>（二）其他资料（格式自定）</w:t>
      </w:r>
    </w:p>
    <w:p w14:paraId="1D255C5D">
      <w:pPr>
        <w:pStyle w:val="3"/>
        <w:adjustRightInd w:val="0"/>
        <w:snapToGrid w:val="0"/>
        <w:spacing w:before="0" w:after="0" w:line="400" w:lineRule="exact"/>
        <w:ind w:firstLine="640" w:firstLineChars="200"/>
        <w:rPr>
          <w:rFonts w:hint="eastAsia" w:ascii="方正仿宋_GBK" w:hAnsi="宋体" w:eastAsia="方正仿宋_GBK"/>
          <w:color w:val="auto"/>
          <w:sz w:val="24"/>
        </w:rPr>
      </w:pPr>
      <w:r>
        <w:rPr>
          <w:rFonts w:ascii="方正仿宋_GBK" w:eastAsia="方正仿宋_GBK"/>
          <w:b w:val="0"/>
          <w:color w:val="auto"/>
        </w:rPr>
        <w:br w:type="page"/>
      </w:r>
      <w:bookmarkStart w:id="122" w:name="_Toc313888362"/>
      <w:bookmarkStart w:id="123" w:name="_Toc106030908"/>
      <w:bookmarkStart w:id="124" w:name="_Toc342913421"/>
      <w:bookmarkStart w:id="125" w:name="_Toc76462352"/>
      <w:bookmarkStart w:id="126" w:name="_Toc313008358"/>
      <w:r>
        <w:rPr>
          <w:rFonts w:hint="eastAsia" w:ascii="方正仿宋_GBK" w:hAnsi="宋体" w:eastAsia="方正仿宋_GBK"/>
          <w:color w:val="auto"/>
          <w:sz w:val="24"/>
        </w:rPr>
        <w:t>三、商务部分</w:t>
      </w:r>
      <w:bookmarkEnd w:id="122"/>
      <w:bookmarkEnd w:id="123"/>
      <w:bookmarkEnd w:id="124"/>
      <w:bookmarkEnd w:id="125"/>
      <w:bookmarkEnd w:id="126"/>
    </w:p>
    <w:p w14:paraId="2AF3D714">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（一）商务响应偏离表                           </w:t>
      </w:r>
    </w:p>
    <w:p w14:paraId="6AE686FD">
      <w:pPr>
        <w:snapToGrid w:val="0"/>
        <w:spacing w:line="400" w:lineRule="exact"/>
        <w:ind w:firstLine="480" w:firstLineChars="200"/>
        <w:rPr>
          <w:rFonts w:hint="eastAsia" w:ascii="方正仿宋_GBK" w:hAnsi="宋体" w:eastAsia="方正仿宋_GBK"/>
          <w:color w:val="auto"/>
          <w:sz w:val="24"/>
          <w:szCs w:val="24"/>
        </w:rPr>
      </w:pPr>
    </w:p>
    <w:p w14:paraId="17F24148">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项目名称： </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EE4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6916D284">
            <w:pPr>
              <w:snapToGrid w:val="0"/>
              <w:spacing w:line="360" w:lineRule="auto"/>
              <w:ind w:firstLine="465"/>
              <w:rPr>
                <w:rFonts w:hint="eastAsia" w:ascii="方正仿宋_GBK" w:hAnsi="宋体" w:eastAsia="方正仿宋_GBK"/>
                <w:color w:val="auto"/>
                <w:sz w:val="21"/>
                <w:szCs w:val="24"/>
              </w:rPr>
            </w:pPr>
            <w:r>
              <w:rPr>
                <w:rFonts w:hint="eastAsia" w:ascii="方正仿宋_GBK" w:hAnsi="宋体" w:eastAsia="方正仿宋_GBK"/>
                <w:color w:val="auto"/>
                <w:sz w:val="21"/>
                <w:szCs w:val="24"/>
              </w:rPr>
              <w:t>序号</w:t>
            </w:r>
          </w:p>
        </w:tc>
        <w:tc>
          <w:tcPr>
            <w:tcW w:w="3179" w:type="dxa"/>
            <w:noWrap w:val="0"/>
            <w:vAlign w:val="center"/>
          </w:tcPr>
          <w:p w14:paraId="45E341CF">
            <w:pPr>
              <w:tabs>
                <w:tab w:val="left" w:pos="6300"/>
              </w:tabs>
              <w:snapToGrid w:val="0"/>
              <w:spacing w:line="360" w:lineRule="auto"/>
              <w:jc w:val="center"/>
              <w:outlineLvl w:val="0"/>
              <w:rPr>
                <w:rFonts w:hint="eastAsia" w:ascii="方正仿宋_GBK" w:hAnsi="宋体" w:eastAsia="方正仿宋_GBK"/>
                <w:color w:val="auto"/>
                <w:sz w:val="21"/>
                <w:szCs w:val="24"/>
              </w:rPr>
            </w:pPr>
            <w:r>
              <w:rPr>
                <w:rFonts w:hint="eastAsia" w:ascii="方正仿宋_GBK" w:hAnsi="宋体" w:eastAsia="方正仿宋_GBK"/>
                <w:color w:val="auto"/>
                <w:sz w:val="21"/>
                <w:szCs w:val="24"/>
              </w:rPr>
              <w:t>项目商务需求</w:t>
            </w:r>
          </w:p>
        </w:tc>
        <w:tc>
          <w:tcPr>
            <w:tcW w:w="2434" w:type="dxa"/>
            <w:noWrap w:val="0"/>
            <w:vAlign w:val="center"/>
          </w:tcPr>
          <w:p w14:paraId="34E98440">
            <w:pPr>
              <w:tabs>
                <w:tab w:val="left" w:pos="6300"/>
              </w:tabs>
              <w:snapToGrid w:val="0"/>
              <w:spacing w:line="360" w:lineRule="auto"/>
              <w:jc w:val="center"/>
              <w:outlineLvl w:val="0"/>
              <w:rPr>
                <w:rFonts w:hint="eastAsia" w:ascii="方正仿宋_GBK" w:hAnsi="宋体" w:eastAsia="方正仿宋_GBK"/>
                <w:color w:val="auto"/>
                <w:sz w:val="21"/>
                <w:szCs w:val="24"/>
              </w:rPr>
            </w:pPr>
            <w:r>
              <w:rPr>
                <w:rFonts w:hint="eastAsia" w:ascii="方正仿宋_GBK" w:hAnsi="宋体" w:eastAsia="方正仿宋_GBK"/>
                <w:color w:val="auto"/>
                <w:sz w:val="21"/>
                <w:szCs w:val="24"/>
              </w:rPr>
              <w:t>响应情况</w:t>
            </w:r>
          </w:p>
        </w:tc>
        <w:tc>
          <w:tcPr>
            <w:tcW w:w="2355" w:type="dxa"/>
            <w:noWrap w:val="0"/>
            <w:vAlign w:val="center"/>
          </w:tcPr>
          <w:p w14:paraId="2F86F3E0">
            <w:pPr>
              <w:tabs>
                <w:tab w:val="left" w:pos="6300"/>
              </w:tabs>
              <w:snapToGrid w:val="0"/>
              <w:spacing w:line="360" w:lineRule="auto"/>
              <w:jc w:val="center"/>
              <w:outlineLvl w:val="0"/>
              <w:rPr>
                <w:rFonts w:hint="eastAsia" w:ascii="方正仿宋_GBK" w:hAnsi="宋体" w:eastAsia="方正仿宋_GBK"/>
                <w:color w:val="auto"/>
                <w:sz w:val="21"/>
                <w:szCs w:val="24"/>
              </w:rPr>
            </w:pPr>
            <w:r>
              <w:rPr>
                <w:rFonts w:hint="eastAsia" w:ascii="方正仿宋_GBK" w:hAnsi="宋体" w:eastAsia="方正仿宋_GBK"/>
                <w:color w:val="auto"/>
                <w:sz w:val="21"/>
                <w:szCs w:val="24"/>
              </w:rPr>
              <w:t>偏离说明</w:t>
            </w:r>
          </w:p>
        </w:tc>
      </w:tr>
      <w:tr w14:paraId="6ECF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0D5D571E">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2E4B8560">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5CD16EA4">
            <w:pPr>
              <w:tabs>
                <w:tab w:val="left" w:pos="6300"/>
              </w:tabs>
              <w:snapToGrid w:val="0"/>
              <w:spacing w:line="360" w:lineRule="auto"/>
              <w:outlineLvl w:val="0"/>
              <w:rPr>
                <w:rFonts w:hint="eastAsia" w:ascii="方正仿宋_GBK" w:hAnsi="宋体" w:eastAsia="方正仿宋_GBK"/>
                <w:color w:val="auto"/>
                <w:sz w:val="21"/>
                <w:szCs w:val="24"/>
              </w:rPr>
            </w:pPr>
            <w:r>
              <w:rPr>
                <w:rFonts w:ascii="方正仿宋_GBK" w:hAnsi="仿宋" w:eastAsia="方正仿宋_GBK"/>
                <w:color w:val="auto"/>
                <w:sz w:val="21"/>
                <w:szCs w:val="21"/>
              </w:rPr>
              <w:t>提醒</w:t>
            </w:r>
            <w:r>
              <w:rPr>
                <w:rFonts w:hint="eastAsia" w:ascii="方正仿宋_GBK" w:hAnsi="仿宋" w:eastAsia="方正仿宋_GBK"/>
                <w:color w:val="auto"/>
                <w:sz w:val="21"/>
                <w:szCs w:val="21"/>
              </w:rPr>
              <w:t>：</w:t>
            </w:r>
            <w:r>
              <w:rPr>
                <w:rFonts w:ascii="方正仿宋_GBK" w:hAnsi="仿宋" w:eastAsia="方正仿宋_GBK"/>
                <w:color w:val="auto"/>
                <w:sz w:val="21"/>
                <w:szCs w:val="21"/>
              </w:rPr>
              <w:t>请注明具体内容以及</w:t>
            </w:r>
            <w:r>
              <w:rPr>
                <w:rFonts w:hint="eastAsia" w:ascii="方正仿宋_GBK" w:hAnsi="仿宋" w:eastAsia="方正仿宋_GBK"/>
                <w:color w:val="auto"/>
                <w:sz w:val="21"/>
                <w:szCs w:val="21"/>
              </w:rPr>
              <w:t>响应文件</w:t>
            </w:r>
            <w:r>
              <w:rPr>
                <w:rFonts w:ascii="方正仿宋_GBK" w:hAnsi="仿宋" w:eastAsia="方正仿宋_GBK"/>
                <w:color w:val="auto"/>
                <w:sz w:val="21"/>
                <w:szCs w:val="21"/>
              </w:rPr>
              <w:t>中</w:t>
            </w:r>
            <w:r>
              <w:rPr>
                <w:rFonts w:hint="eastAsia" w:ascii="方正仿宋_GBK" w:hAnsi="仿宋" w:eastAsia="方正仿宋_GBK"/>
                <w:color w:val="auto"/>
                <w:sz w:val="21"/>
                <w:szCs w:val="21"/>
              </w:rPr>
              <w:t>具体</w:t>
            </w:r>
            <w:r>
              <w:rPr>
                <w:rFonts w:ascii="方正仿宋_GBK" w:hAnsi="仿宋" w:eastAsia="方正仿宋_GBK"/>
                <w:color w:val="auto"/>
                <w:sz w:val="21"/>
                <w:szCs w:val="21"/>
              </w:rPr>
              <w:t>内容</w:t>
            </w:r>
            <w:r>
              <w:rPr>
                <w:rFonts w:hint="eastAsia" w:ascii="方正仿宋_GBK" w:hAnsi="仿宋" w:eastAsia="方正仿宋_GBK"/>
                <w:color w:val="auto"/>
                <w:sz w:val="21"/>
                <w:szCs w:val="21"/>
              </w:rPr>
              <w:t>的</w:t>
            </w:r>
            <w:r>
              <w:rPr>
                <w:rFonts w:ascii="方正仿宋_GBK" w:hAnsi="仿宋" w:eastAsia="方正仿宋_GBK"/>
                <w:color w:val="auto"/>
                <w:sz w:val="21"/>
                <w:szCs w:val="21"/>
              </w:rPr>
              <w:t>位置（</w:t>
            </w:r>
            <w:r>
              <w:rPr>
                <w:rFonts w:hint="eastAsia" w:ascii="方正仿宋_GBK" w:hAnsi="仿宋" w:eastAsia="方正仿宋_GBK"/>
                <w:color w:val="auto"/>
                <w:sz w:val="21"/>
                <w:szCs w:val="21"/>
              </w:rPr>
              <w:t>页码</w:t>
            </w:r>
            <w:r>
              <w:rPr>
                <w:rFonts w:ascii="方正仿宋_GBK" w:hAnsi="仿宋" w:eastAsia="方正仿宋_GBK"/>
                <w:color w:val="auto"/>
                <w:sz w:val="21"/>
                <w:szCs w:val="21"/>
              </w:rPr>
              <w:t>）</w:t>
            </w:r>
          </w:p>
        </w:tc>
        <w:tc>
          <w:tcPr>
            <w:tcW w:w="2355" w:type="dxa"/>
            <w:noWrap w:val="0"/>
            <w:vAlign w:val="center"/>
          </w:tcPr>
          <w:p w14:paraId="0F4FC310">
            <w:pPr>
              <w:tabs>
                <w:tab w:val="left" w:pos="6300"/>
              </w:tabs>
              <w:snapToGrid w:val="0"/>
              <w:spacing w:line="360" w:lineRule="auto"/>
              <w:jc w:val="center"/>
              <w:outlineLvl w:val="0"/>
              <w:rPr>
                <w:rFonts w:hint="eastAsia" w:ascii="方正仿宋_GBK" w:hAnsi="宋体" w:eastAsia="方正仿宋_GBK"/>
                <w:color w:val="auto"/>
                <w:sz w:val="21"/>
                <w:szCs w:val="24"/>
              </w:rPr>
            </w:pPr>
            <w:r>
              <w:rPr>
                <w:rFonts w:hint="eastAsia" w:ascii="方正仿宋_GBK" w:hAnsi="仿宋" w:eastAsia="方正仿宋_GBK"/>
                <w:color w:val="auto"/>
                <w:sz w:val="21"/>
                <w:szCs w:val="21"/>
              </w:rPr>
              <w:t>提醒：请注明响应情况与商务需求的差异情况：正偏离、负偏离或者无差异</w:t>
            </w:r>
          </w:p>
        </w:tc>
      </w:tr>
      <w:tr w14:paraId="53B0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BDBF960">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19332515">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603FACEB">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355" w:type="dxa"/>
            <w:noWrap w:val="0"/>
            <w:vAlign w:val="center"/>
          </w:tcPr>
          <w:p w14:paraId="5A40335A">
            <w:pPr>
              <w:tabs>
                <w:tab w:val="left" w:pos="6300"/>
              </w:tabs>
              <w:snapToGrid w:val="0"/>
              <w:spacing w:line="360" w:lineRule="auto"/>
              <w:jc w:val="center"/>
              <w:outlineLvl w:val="0"/>
              <w:rPr>
                <w:rFonts w:hint="eastAsia" w:ascii="方正仿宋_GBK" w:hAnsi="宋体" w:eastAsia="方正仿宋_GBK"/>
                <w:color w:val="auto"/>
                <w:sz w:val="21"/>
                <w:szCs w:val="24"/>
              </w:rPr>
            </w:pPr>
          </w:p>
        </w:tc>
      </w:tr>
      <w:tr w14:paraId="7514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0BD0A76">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26F26C84">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5CD5D980">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355" w:type="dxa"/>
            <w:noWrap w:val="0"/>
            <w:vAlign w:val="center"/>
          </w:tcPr>
          <w:p w14:paraId="422E7F6A">
            <w:pPr>
              <w:tabs>
                <w:tab w:val="left" w:pos="6300"/>
              </w:tabs>
              <w:snapToGrid w:val="0"/>
              <w:spacing w:line="360" w:lineRule="auto"/>
              <w:jc w:val="center"/>
              <w:outlineLvl w:val="0"/>
              <w:rPr>
                <w:rFonts w:hint="eastAsia" w:ascii="方正仿宋_GBK" w:hAnsi="宋体" w:eastAsia="方正仿宋_GBK"/>
                <w:color w:val="auto"/>
                <w:sz w:val="21"/>
                <w:szCs w:val="24"/>
              </w:rPr>
            </w:pPr>
          </w:p>
        </w:tc>
      </w:tr>
      <w:tr w14:paraId="01BC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8AB29D7">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7D4349AC">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1CC8F2F4">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355" w:type="dxa"/>
            <w:noWrap w:val="0"/>
            <w:vAlign w:val="center"/>
          </w:tcPr>
          <w:p w14:paraId="75C4FBCF">
            <w:pPr>
              <w:tabs>
                <w:tab w:val="left" w:pos="6300"/>
              </w:tabs>
              <w:snapToGrid w:val="0"/>
              <w:spacing w:line="360" w:lineRule="auto"/>
              <w:jc w:val="center"/>
              <w:outlineLvl w:val="0"/>
              <w:rPr>
                <w:rFonts w:hint="eastAsia" w:ascii="方正仿宋_GBK" w:hAnsi="宋体" w:eastAsia="方正仿宋_GBK"/>
                <w:color w:val="auto"/>
                <w:sz w:val="21"/>
                <w:szCs w:val="24"/>
              </w:rPr>
            </w:pPr>
          </w:p>
        </w:tc>
      </w:tr>
      <w:tr w14:paraId="39A0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04625E44">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1EFC714E">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6C2E7B35">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355" w:type="dxa"/>
            <w:noWrap w:val="0"/>
            <w:vAlign w:val="center"/>
          </w:tcPr>
          <w:p w14:paraId="5ACC9D50">
            <w:pPr>
              <w:tabs>
                <w:tab w:val="left" w:pos="6300"/>
              </w:tabs>
              <w:snapToGrid w:val="0"/>
              <w:spacing w:line="360" w:lineRule="auto"/>
              <w:jc w:val="center"/>
              <w:outlineLvl w:val="0"/>
              <w:rPr>
                <w:rFonts w:hint="eastAsia" w:ascii="方正仿宋_GBK" w:hAnsi="宋体" w:eastAsia="方正仿宋_GBK"/>
                <w:color w:val="auto"/>
                <w:sz w:val="21"/>
                <w:szCs w:val="24"/>
              </w:rPr>
            </w:pPr>
          </w:p>
        </w:tc>
      </w:tr>
      <w:tr w14:paraId="29FC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F1A9F1A">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3179" w:type="dxa"/>
            <w:noWrap w:val="0"/>
            <w:vAlign w:val="center"/>
          </w:tcPr>
          <w:p w14:paraId="3CD94425">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434" w:type="dxa"/>
            <w:noWrap w:val="0"/>
            <w:vAlign w:val="center"/>
          </w:tcPr>
          <w:p w14:paraId="798C195D">
            <w:pPr>
              <w:tabs>
                <w:tab w:val="left" w:pos="6300"/>
              </w:tabs>
              <w:snapToGrid w:val="0"/>
              <w:spacing w:line="360" w:lineRule="auto"/>
              <w:jc w:val="center"/>
              <w:outlineLvl w:val="0"/>
              <w:rPr>
                <w:rFonts w:hint="eastAsia" w:ascii="方正仿宋_GBK" w:hAnsi="宋体" w:eastAsia="方正仿宋_GBK"/>
                <w:color w:val="auto"/>
                <w:sz w:val="21"/>
                <w:szCs w:val="24"/>
              </w:rPr>
            </w:pPr>
          </w:p>
        </w:tc>
        <w:tc>
          <w:tcPr>
            <w:tcW w:w="2355" w:type="dxa"/>
            <w:noWrap w:val="0"/>
            <w:vAlign w:val="center"/>
          </w:tcPr>
          <w:p w14:paraId="677B8AE0">
            <w:pPr>
              <w:tabs>
                <w:tab w:val="left" w:pos="6300"/>
              </w:tabs>
              <w:snapToGrid w:val="0"/>
              <w:spacing w:line="360" w:lineRule="auto"/>
              <w:jc w:val="center"/>
              <w:outlineLvl w:val="0"/>
              <w:rPr>
                <w:rFonts w:hint="eastAsia" w:ascii="方正仿宋_GBK" w:hAnsi="宋体" w:eastAsia="方正仿宋_GBK"/>
                <w:color w:val="auto"/>
                <w:sz w:val="21"/>
                <w:szCs w:val="24"/>
              </w:rPr>
            </w:pPr>
          </w:p>
        </w:tc>
      </w:tr>
    </w:tbl>
    <w:p w14:paraId="5FB2F609">
      <w:pPr>
        <w:snapToGrid w:val="0"/>
        <w:spacing w:line="360" w:lineRule="auto"/>
        <w:ind w:firstLine="465"/>
        <w:rPr>
          <w:rFonts w:hint="eastAsia" w:ascii="方正仿宋_GBK" w:hAnsi="宋体" w:eastAsia="方正仿宋_GBK"/>
          <w:color w:val="auto"/>
          <w:sz w:val="24"/>
          <w:szCs w:val="24"/>
        </w:rPr>
      </w:pPr>
    </w:p>
    <w:p w14:paraId="0A04AAC7">
      <w:pPr>
        <w:spacing w:line="500" w:lineRule="exact"/>
        <w:ind w:firstLine="600" w:firstLineChars="2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p>
    <w:p w14:paraId="57BB90E0">
      <w:pPr>
        <w:spacing w:line="500" w:lineRule="exact"/>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14:paraId="52983C4A">
      <w:pPr>
        <w:spacing w:line="500" w:lineRule="exact"/>
        <w:ind w:firstLine="360" w:firstLineChars="1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（供应商公章）                                 （签署或盖章）</w:t>
      </w:r>
    </w:p>
    <w:p w14:paraId="29C508A0">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14:paraId="7573E7B1">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注：</w:t>
      </w:r>
    </w:p>
    <w:p w14:paraId="3B6E904F">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本表即为对本项目“第三篇  项目商务需求”中所列条款进行比较和响应；</w:t>
      </w:r>
    </w:p>
    <w:p w14:paraId="723F5751">
      <w:pPr>
        <w:snapToGrid w:val="0"/>
        <w:spacing w:line="400" w:lineRule="exact"/>
        <w:ind w:firstLine="480" w:firstLineChars="200"/>
        <w:rPr>
          <w:rFonts w:hint="eastAsia" w:ascii="方正仿宋_GBK" w:eastAsia="方正仿宋_GBK"/>
          <w:b/>
          <w:color w:val="auto"/>
        </w:rPr>
        <w:sectPr>
          <w:headerReference r:id="rId23" w:type="default"/>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rPr>
        <w:t>2.本表可扩展。</w:t>
      </w:r>
    </w:p>
    <w:p w14:paraId="42A0EEBC">
      <w:pPr>
        <w:snapToGrid w:val="0"/>
        <w:spacing w:line="400" w:lineRule="exact"/>
        <w:ind w:firstLine="480" w:firstLineChars="200"/>
        <w:rPr>
          <w:rFonts w:hint="eastAsia" w:ascii="方正仿宋_GBK" w:hAnsi="宋体" w:eastAsia="方正仿宋_GBK"/>
          <w:color w:val="auto"/>
          <w:sz w:val="24"/>
          <w:szCs w:val="24"/>
        </w:rPr>
      </w:pPr>
      <w:bookmarkStart w:id="127" w:name="_Toc283382459"/>
      <w:r>
        <w:rPr>
          <w:rFonts w:hint="eastAsia" w:ascii="方正仿宋_GBK" w:hAnsi="宋体" w:eastAsia="方正仿宋_GBK"/>
          <w:color w:val="auto"/>
          <w:sz w:val="24"/>
          <w:szCs w:val="24"/>
        </w:rPr>
        <w:t>（二）其它优惠承诺（格式自定）</w:t>
      </w:r>
    </w:p>
    <w:p w14:paraId="225896DD">
      <w:pPr>
        <w:snapToGrid w:val="0"/>
        <w:spacing w:line="400" w:lineRule="exact"/>
        <w:ind w:firstLine="480" w:firstLineChars="200"/>
        <w:rPr>
          <w:rFonts w:hint="eastAsia" w:ascii="方正仿宋_GBK" w:hAnsi="宋体" w:eastAsia="方正仿宋_GBK"/>
          <w:color w:val="auto"/>
          <w:sz w:val="24"/>
          <w:szCs w:val="24"/>
        </w:rPr>
      </w:pPr>
    </w:p>
    <w:p w14:paraId="11A81A77">
      <w:pPr>
        <w:pStyle w:val="3"/>
        <w:adjustRightInd w:val="0"/>
        <w:snapToGrid w:val="0"/>
        <w:spacing w:before="0" w:after="0" w:line="400" w:lineRule="exact"/>
        <w:ind w:firstLine="480" w:firstLineChars="200"/>
        <w:rPr>
          <w:rFonts w:hint="eastAsia" w:ascii="方正仿宋_GBK" w:hAnsi="宋体" w:eastAsia="方正仿宋_GBK"/>
          <w:color w:val="auto"/>
          <w:sz w:val="24"/>
        </w:rPr>
      </w:pPr>
      <w:r>
        <w:rPr>
          <w:rFonts w:ascii="方正仿宋_GBK" w:hAnsi="宋体" w:eastAsia="方正仿宋_GBK"/>
          <w:color w:val="auto"/>
          <w:sz w:val="24"/>
          <w:szCs w:val="24"/>
        </w:rPr>
        <w:br w:type="page"/>
      </w:r>
      <w:bookmarkEnd w:id="127"/>
      <w:bookmarkStart w:id="128" w:name="_Toc313888363"/>
      <w:bookmarkStart w:id="129" w:name="_Toc342913422"/>
      <w:bookmarkStart w:id="130" w:name="_Toc76462353"/>
      <w:bookmarkStart w:id="131" w:name="_Toc313008359"/>
      <w:bookmarkStart w:id="132" w:name="_Toc106030909"/>
      <w:r>
        <w:rPr>
          <w:rFonts w:hint="eastAsia" w:ascii="方正仿宋_GBK" w:hAnsi="宋体" w:eastAsia="方正仿宋_GBK"/>
          <w:color w:val="auto"/>
          <w:sz w:val="24"/>
        </w:rPr>
        <w:t>四、资格条件</w:t>
      </w:r>
      <w:bookmarkEnd w:id="128"/>
      <w:bookmarkEnd w:id="129"/>
      <w:bookmarkEnd w:id="130"/>
      <w:bookmarkEnd w:id="131"/>
      <w:bookmarkEnd w:id="132"/>
    </w:p>
    <w:p w14:paraId="6A48941B">
      <w:pPr>
        <w:tabs>
          <w:tab w:val="left" w:pos="6300"/>
        </w:tabs>
        <w:snapToGrid w:val="0"/>
        <w:spacing w:line="400" w:lineRule="exact"/>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（一）法人营业执照（副本）或事业单位法人证书（副本）或个体工商户营业执照或有效的自然人身份证明或社会团体法人登记证书复印件</w:t>
      </w:r>
    </w:p>
    <w:p w14:paraId="0254134A">
      <w:pPr>
        <w:tabs>
          <w:tab w:val="left" w:pos="6300"/>
        </w:tabs>
        <w:snapToGrid w:val="0"/>
        <w:spacing w:line="400" w:lineRule="exact"/>
        <w:ind w:firstLine="570"/>
        <w:rPr>
          <w:rFonts w:hint="eastAsia" w:ascii="方正仿宋_GBK" w:hAnsi="宋体" w:eastAsia="方正仿宋_GBK"/>
          <w:color w:val="auto"/>
        </w:rPr>
      </w:pPr>
    </w:p>
    <w:p w14:paraId="1C7B4CD1">
      <w:pPr>
        <w:tabs>
          <w:tab w:val="left" w:pos="6300"/>
        </w:tabs>
        <w:snapToGrid w:val="0"/>
        <w:spacing w:line="500" w:lineRule="exact"/>
        <w:ind w:firstLine="570"/>
        <w:rPr>
          <w:rFonts w:hint="eastAsia" w:ascii="方正仿宋_GBK" w:hAnsi="宋体" w:eastAsia="方正仿宋_GBK"/>
          <w:color w:val="auto"/>
        </w:rPr>
      </w:pPr>
    </w:p>
    <w:p w14:paraId="6CDB6636">
      <w:pPr>
        <w:tabs>
          <w:tab w:val="left" w:pos="6300"/>
        </w:tabs>
        <w:snapToGrid w:val="0"/>
        <w:spacing w:line="500" w:lineRule="exact"/>
        <w:ind w:firstLine="570"/>
        <w:rPr>
          <w:rFonts w:hint="eastAsia" w:ascii="方正仿宋_GBK" w:hAnsi="宋体" w:eastAsia="方正仿宋_GBK"/>
          <w:color w:val="auto"/>
        </w:rPr>
      </w:pPr>
    </w:p>
    <w:p w14:paraId="66E7F0D3">
      <w:pPr>
        <w:tabs>
          <w:tab w:val="left" w:pos="6300"/>
        </w:tabs>
        <w:snapToGrid w:val="0"/>
        <w:spacing w:line="500" w:lineRule="exact"/>
        <w:ind w:firstLine="570"/>
        <w:rPr>
          <w:rFonts w:hint="eastAsia" w:ascii="方正仿宋_GBK" w:hAnsi="宋体" w:eastAsia="方正仿宋_GBK"/>
          <w:color w:val="auto"/>
        </w:rPr>
      </w:pPr>
    </w:p>
    <w:p w14:paraId="1583BF45">
      <w:pPr>
        <w:tabs>
          <w:tab w:val="left" w:pos="6300"/>
        </w:tabs>
        <w:snapToGrid w:val="0"/>
        <w:spacing w:line="500" w:lineRule="exact"/>
        <w:ind w:firstLine="570"/>
        <w:rPr>
          <w:rFonts w:hint="eastAsia" w:ascii="方正仿宋_GBK" w:hAnsi="宋体" w:eastAsia="方正仿宋_GBK"/>
          <w:color w:val="auto"/>
        </w:rPr>
      </w:pPr>
    </w:p>
    <w:p w14:paraId="2AE347D0">
      <w:pPr>
        <w:snapToGrid w:val="0"/>
        <w:spacing w:line="400" w:lineRule="exact"/>
        <w:ind w:firstLine="560" w:firstLineChars="200"/>
        <w:rPr>
          <w:rFonts w:hint="eastAsia" w:ascii="方正仿宋_GBK" w:hAnsi="宋体" w:eastAsia="方正仿宋_GBK"/>
          <w:color w:val="auto"/>
          <w:sz w:val="24"/>
          <w:szCs w:val="24"/>
        </w:rPr>
      </w:pPr>
      <w:r>
        <w:rPr>
          <w:rFonts w:ascii="方正仿宋_GBK" w:hAnsi="宋体" w:eastAsia="方正仿宋_GBK"/>
          <w:color w:val="auto"/>
        </w:rPr>
        <w:br w:type="page"/>
      </w:r>
      <w:r>
        <w:rPr>
          <w:rFonts w:hint="eastAsia" w:ascii="方正仿宋_GBK" w:hAnsi="宋体" w:eastAsia="方正仿宋_GBK"/>
          <w:color w:val="auto"/>
          <w:sz w:val="24"/>
          <w:szCs w:val="24"/>
        </w:rPr>
        <w:t>（二）法定代表人身份证明书（格式）</w:t>
      </w:r>
    </w:p>
    <w:p w14:paraId="10C1888D">
      <w:pPr>
        <w:tabs>
          <w:tab w:val="left" w:pos="6300"/>
        </w:tabs>
        <w:snapToGrid w:val="0"/>
        <w:spacing w:line="500" w:lineRule="exact"/>
        <w:ind w:firstLine="570"/>
        <w:rPr>
          <w:rFonts w:hint="eastAsia" w:ascii="方正仿宋_GBK" w:hAnsi="宋体" w:eastAsia="方正仿宋_GBK"/>
          <w:color w:val="auto"/>
          <w:sz w:val="24"/>
        </w:rPr>
      </w:pPr>
    </w:p>
    <w:p w14:paraId="6DC2FDDD">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项目名称：</w:t>
      </w:r>
      <w:r>
        <w:rPr>
          <w:rFonts w:hint="eastAsia" w:ascii="方正仿宋_GBK" w:hAnsi="宋体" w:eastAsia="方正仿宋_GBK"/>
          <w:color w:val="auto"/>
          <w:sz w:val="24"/>
          <w:u w:val="single"/>
        </w:rPr>
        <w:t xml:space="preserve">                                                </w:t>
      </w:r>
    </w:p>
    <w:p w14:paraId="36343D01">
      <w:pPr>
        <w:tabs>
          <w:tab w:val="left" w:pos="6300"/>
        </w:tabs>
        <w:snapToGrid w:val="0"/>
        <w:spacing w:line="500" w:lineRule="exact"/>
        <w:ind w:firstLine="570"/>
        <w:rPr>
          <w:rFonts w:hint="eastAsia" w:ascii="方正仿宋_GBK" w:hAnsi="宋体" w:eastAsia="方正仿宋_GBK"/>
          <w:color w:val="auto"/>
          <w:sz w:val="24"/>
        </w:rPr>
      </w:pPr>
    </w:p>
    <w:p w14:paraId="61358DAB">
      <w:pPr>
        <w:tabs>
          <w:tab w:val="left" w:pos="6300"/>
        </w:tabs>
        <w:snapToGrid w:val="0"/>
        <w:spacing w:line="500" w:lineRule="exact"/>
        <w:rPr>
          <w:rFonts w:hint="eastAsia"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（采购代理机构名称）：</w:t>
      </w:r>
    </w:p>
    <w:p w14:paraId="11A140FB">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（法定代表人姓名）在</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（供应商名称）任</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（职务名称）职务，是（供应商名称）</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的法定代表人。</w:t>
      </w:r>
    </w:p>
    <w:p w14:paraId="1C673B0B">
      <w:pPr>
        <w:tabs>
          <w:tab w:val="left" w:pos="6300"/>
        </w:tabs>
        <w:snapToGrid w:val="0"/>
        <w:spacing w:line="500" w:lineRule="exact"/>
        <w:ind w:firstLine="570"/>
        <w:rPr>
          <w:rFonts w:hint="eastAsia" w:ascii="方正仿宋_GBK" w:hAnsi="宋体" w:eastAsia="方正仿宋_GBK"/>
          <w:color w:val="auto"/>
          <w:sz w:val="24"/>
        </w:rPr>
      </w:pPr>
    </w:p>
    <w:p w14:paraId="6310A4B1">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特此证明。</w:t>
      </w:r>
    </w:p>
    <w:p w14:paraId="7C403CCE">
      <w:pPr>
        <w:tabs>
          <w:tab w:val="left" w:pos="6300"/>
        </w:tabs>
        <w:snapToGrid w:val="0"/>
        <w:spacing w:line="500" w:lineRule="exact"/>
        <w:ind w:firstLine="570"/>
        <w:rPr>
          <w:rFonts w:hint="eastAsia" w:ascii="方正仿宋_GBK" w:hAnsi="宋体" w:eastAsia="方正仿宋_GBK"/>
          <w:color w:val="auto"/>
          <w:sz w:val="24"/>
        </w:rPr>
      </w:pPr>
    </w:p>
    <w:p w14:paraId="3D3F3D73">
      <w:pPr>
        <w:tabs>
          <w:tab w:val="left" w:pos="6300"/>
        </w:tabs>
        <w:snapToGrid w:val="0"/>
        <w:spacing w:line="500" w:lineRule="exact"/>
        <w:ind w:firstLine="570"/>
        <w:rPr>
          <w:rFonts w:hint="eastAsia" w:ascii="方正仿宋_GBK" w:hAnsi="宋体" w:eastAsia="方正仿宋_GBK"/>
          <w:color w:val="auto"/>
          <w:sz w:val="24"/>
        </w:rPr>
      </w:pPr>
    </w:p>
    <w:p w14:paraId="7EABCFDD">
      <w:pPr>
        <w:tabs>
          <w:tab w:val="left" w:pos="6300"/>
        </w:tabs>
        <w:snapToGrid w:val="0"/>
        <w:spacing w:line="500" w:lineRule="exact"/>
        <w:ind w:firstLine="570"/>
        <w:rPr>
          <w:rFonts w:hint="eastAsia" w:ascii="方正仿宋_GBK" w:hAnsi="宋体" w:eastAsia="方正仿宋_GBK"/>
          <w:color w:val="auto"/>
          <w:sz w:val="24"/>
        </w:rPr>
      </w:pPr>
    </w:p>
    <w:p w14:paraId="64C0C97B">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（供应商公章）</w:t>
      </w:r>
    </w:p>
    <w:p w14:paraId="2BBE6A2B">
      <w:pPr>
        <w:tabs>
          <w:tab w:val="left" w:pos="6300"/>
        </w:tabs>
        <w:snapToGrid w:val="0"/>
        <w:spacing w:line="500" w:lineRule="exact"/>
        <w:ind w:firstLine="570"/>
        <w:rPr>
          <w:rFonts w:hint="eastAsia" w:ascii="方正仿宋_GBK" w:hAnsi="宋体" w:eastAsia="方正仿宋_GBK"/>
          <w:color w:val="auto"/>
          <w:sz w:val="24"/>
        </w:rPr>
      </w:pPr>
    </w:p>
    <w:p w14:paraId="0B4C2869">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年   月   日</w:t>
      </w:r>
    </w:p>
    <w:p w14:paraId="05244C3A">
      <w:pPr>
        <w:tabs>
          <w:tab w:val="left" w:pos="6300"/>
        </w:tabs>
        <w:snapToGrid w:val="0"/>
        <w:spacing w:line="500" w:lineRule="exact"/>
        <w:ind w:firstLine="570"/>
        <w:rPr>
          <w:rFonts w:hint="eastAsia" w:ascii="方正仿宋_GBK" w:hAnsi="仿宋" w:eastAsia="方正仿宋_GBK"/>
          <w:color w:val="auto"/>
          <w:sz w:val="24"/>
        </w:rPr>
      </w:pPr>
      <w:r>
        <w:rPr>
          <w:rFonts w:hint="eastAsia" w:ascii="方正仿宋_GBK" w:hAnsi="仿宋" w:eastAsia="方正仿宋_GBK"/>
          <w:color w:val="auto"/>
          <w:sz w:val="24"/>
        </w:rPr>
        <w:t>法定代表人电话：XXXXXXX      电子邮箱：XXXXXX@XXXXX（若授权他人办理并签署响应文件的可不填写）</w:t>
      </w:r>
    </w:p>
    <w:p w14:paraId="679D6495">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仿宋" w:eastAsia="方正仿宋_GBK"/>
          <w:color w:val="auto"/>
          <w:sz w:val="24"/>
        </w:rPr>
        <w:t>（附：法定代表人身份证正反面复印件）</w:t>
      </w:r>
    </w:p>
    <w:p w14:paraId="749F6FE7">
      <w:pPr>
        <w:tabs>
          <w:tab w:val="left" w:pos="6300"/>
        </w:tabs>
        <w:snapToGrid w:val="0"/>
        <w:spacing w:line="500" w:lineRule="exact"/>
        <w:ind w:firstLine="570"/>
        <w:rPr>
          <w:rFonts w:hint="eastAsia" w:ascii="方正仿宋_GBK" w:hAnsi="宋体" w:eastAsia="方正仿宋_GBK"/>
          <w:color w:val="auto"/>
          <w:sz w:val="24"/>
        </w:rPr>
      </w:pPr>
    </w:p>
    <w:p w14:paraId="08FFB4FD">
      <w:pPr>
        <w:tabs>
          <w:tab w:val="left" w:pos="6300"/>
        </w:tabs>
        <w:snapToGrid w:val="0"/>
        <w:spacing w:line="500" w:lineRule="exact"/>
        <w:ind w:firstLine="570"/>
        <w:rPr>
          <w:rFonts w:hint="eastAsia" w:ascii="方正仿宋_GBK" w:hAnsi="宋体" w:eastAsia="方正仿宋_GBK"/>
          <w:color w:val="auto"/>
          <w:sz w:val="24"/>
        </w:rPr>
      </w:pPr>
    </w:p>
    <w:p w14:paraId="4ED606A9">
      <w:pPr>
        <w:tabs>
          <w:tab w:val="left" w:pos="6300"/>
        </w:tabs>
        <w:snapToGrid w:val="0"/>
        <w:spacing w:line="500" w:lineRule="exact"/>
        <w:ind w:firstLine="570"/>
        <w:rPr>
          <w:rFonts w:hint="eastAsia" w:ascii="方正仿宋_GBK" w:hAnsi="宋体" w:eastAsia="方正仿宋_GBK"/>
          <w:color w:val="auto"/>
          <w:sz w:val="24"/>
        </w:rPr>
      </w:pPr>
    </w:p>
    <w:p w14:paraId="72078BC9">
      <w:pPr>
        <w:tabs>
          <w:tab w:val="left" w:pos="6300"/>
        </w:tabs>
        <w:snapToGrid w:val="0"/>
        <w:spacing w:line="500" w:lineRule="exact"/>
        <w:ind w:firstLine="570"/>
        <w:rPr>
          <w:rFonts w:hint="eastAsia" w:ascii="方正仿宋_GBK" w:hAnsi="宋体" w:eastAsia="方正仿宋_GBK"/>
          <w:color w:val="auto"/>
          <w:sz w:val="24"/>
        </w:rPr>
      </w:pPr>
    </w:p>
    <w:p w14:paraId="3870D833">
      <w:pPr>
        <w:tabs>
          <w:tab w:val="left" w:pos="6300"/>
        </w:tabs>
        <w:snapToGrid w:val="0"/>
        <w:spacing w:line="500" w:lineRule="exact"/>
        <w:ind w:firstLine="570"/>
        <w:rPr>
          <w:rFonts w:hint="eastAsia" w:ascii="方正仿宋_GBK" w:hAnsi="宋体" w:eastAsia="方正仿宋_GBK"/>
          <w:color w:val="auto"/>
          <w:sz w:val="24"/>
        </w:rPr>
      </w:pPr>
    </w:p>
    <w:p w14:paraId="10EDC76C">
      <w:pPr>
        <w:tabs>
          <w:tab w:val="left" w:pos="6300"/>
        </w:tabs>
        <w:snapToGrid w:val="0"/>
        <w:spacing w:line="500" w:lineRule="exact"/>
        <w:ind w:firstLine="570"/>
        <w:rPr>
          <w:rFonts w:hint="eastAsia" w:ascii="方正仿宋_GBK" w:hAnsi="宋体" w:eastAsia="方正仿宋_GBK"/>
          <w:color w:val="auto"/>
          <w:sz w:val="24"/>
        </w:rPr>
      </w:pPr>
    </w:p>
    <w:p w14:paraId="210844A1">
      <w:pPr>
        <w:snapToGrid w:val="0"/>
        <w:spacing w:line="400" w:lineRule="exact"/>
        <w:ind w:firstLine="560" w:firstLineChars="200"/>
        <w:rPr>
          <w:rFonts w:hint="eastAsia" w:ascii="方正仿宋_GBK" w:hAnsi="宋体" w:eastAsia="方正仿宋_GBK"/>
          <w:color w:val="auto"/>
          <w:sz w:val="24"/>
          <w:szCs w:val="24"/>
        </w:rPr>
      </w:pPr>
      <w:r>
        <w:rPr>
          <w:color w:val="auto"/>
        </w:rPr>
        <w:br w:type="column"/>
      </w:r>
      <w:r>
        <w:rPr>
          <w:rFonts w:hint="eastAsia" w:ascii="方正仿宋_GBK" w:hAnsi="宋体" w:eastAsia="方正仿宋_GBK"/>
          <w:color w:val="auto"/>
          <w:sz w:val="24"/>
          <w:szCs w:val="24"/>
        </w:rPr>
        <w:t>（三）法定代表人授权委托书（格式）</w:t>
      </w:r>
    </w:p>
    <w:p w14:paraId="22A776FD">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w:t>
      </w:r>
    </w:p>
    <w:p w14:paraId="758B0F11">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8"/>
        </w:rPr>
        <w:t>项目名称</w:t>
      </w:r>
      <w:r>
        <w:rPr>
          <w:rFonts w:hint="eastAsia" w:ascii="方正仿宋_GBK" w:hAnsi="宋体" w:eastAsia="方正仿宋_GBK"/>
          <w:color w:val="auto"/>
          <w:sz w:val="24"/>
        </w:rPr>
        <w:t>：</w:t>
      </w:r>
      <w:r>
        <w:rPr>
          <w:rFonts w:hint="eastAsia" w:ascii="方正仿宋_GBK" w:hAnsi="宋体" w:eastAsia="方正仿宋_GBK"/>
          <w:color w:val="auto"/>
          <w:sz w:val="24"/>
          <w:u w:val="single"/>
        </w:rPr>
        <w:t xml:space="preserve">                                                </w:t>
      </w:r>
    </w:p>
    <w:p w14:paraId="2CCF8428">
      <w:pPr>
        <w:tabs>
          <w:tab w:val="left" w:pos="6300"/>
        </w:tabs>
        <w:snapToGrid w:val="0"/>
        <w:spacing w:line="500" w:lineRule="exact"/>
        <w:ind w:firstLine="570"/>
        <w:rPr>
          <w:rFonts w:hint="eastAsia" w:ascii="方正仿宋_GBK" w:hAnsi="宋体" w:eastAsia="方正仿宋_GBK"/>
          <w:color w:val="auto"/>
          <w:sz w:val="24"/>
        </w:rPr>
      </w:pPr>
    </w:p>
    <w:p w14:paraId="78964409">
      <w:pPr>
        <w:tabs>
          <w:tab w:val="left" w:pos="6300"/>
        </w:tabs>
        <w:snapToGrid w:val="0"/>
        <w:spacing w:line="500" w:lineRule="exact"/>
        <w:rPr>
          <w:rFonts w:hint="eastAsia"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w:t>
      </w:r>
      <w:r>
        <w:rPr>
          <w:rFonts w:hint="eastAsia" w:ascii="方正仿宋_GBK" w:hAnsi="宋体" w:eastAsia="方正仿宋_GBK"/>
          <w:color w:val="auto"/>
          <w:sz w:val="24"/>
          <w:szCs w:val="24"/>
          <w:u w:val="single"/>
        </w:rPr>
        <w:t>采购人或采购代理机构名称</w:t>
      </w:r>
      <w:r>
        <w:rPr>
          <w:rFonts w:hint="eastAsia" w:ascii="方正仿宋_GBK" w:hAnsi="宋体" w:eastAsia="方正仿宋_GBK"/>
          <w:color w:val="auto"/>
          <w:sz w:val="24"/>
        </w:rPr>
        <w:t>）：</w:t>
      </w:r>
    </w:p>
    <w:p w14:paraId="5DD4822D">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（供应商法定代表人名称）是</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（供应商名称）的法定代表人，特授权</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（被授权人姓名及身份证代码）代表我单位全权办理上述项目的竞争、签约等具体工作，并签署全部有关文件、协议及合同。</w:t>
      </w:r>
    </w:p>
    <w:p w14:paraId="2564F8B7">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我单位对被授权人的</w:t>
      </w:r>
      <w:r>
        <w:rPr>
          <w:rFonts w:hint="eastAsia" w:ascii="方正仿宋_GBK" w:hAnsi="宋体" w:eastAsia="方正仿宋_GBK"/>
          <w:color w:val="auto"/>
          <w:sz w:val="24"/>
          <w:szCs w:val="28"/>
        </w:rPr>
        <w:t>签署</w:t>
      </w:r>
      <w:r>
        <w:rPr>
          <w:rFonts w:hint="eastAsia" w:ascii="方正仿宋_GBK" w:hAnsi="宋体" w:eastAsia="方正仿宋_GBK"/>
          <w:color w:val="auto"/>
          <w:sz w:val="24"/>
        </w:rPr>
        <w:t>负全部责任。</w:t>
      </w:r>
    </w:p>
    <w:p w14:paraId="532F8139">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在撤销授权的书面通知以前，本授权书一直有效。被授权人在授权书有效期内签署的所有文件不因授权的撤销而失效。</w:t>
      </w:r>
    </w:p>
    <w:p w14:paraId="2276FD24">
      <w:pPr>
        <w:tabs>
          <w:tab w:val="left" w:pos="6300"/>
        </w:tabs>
        <w:snapToGrid w:val="0"/>
        <w:spacing w:line="500" w:lineRule="exact"/>
        <w:ind w:firstLine="570"/>
        <w:rPr>
          <w:rFonts w:hint="eastAsia" w:ascii="方正仿宋_GBK" w:hAnsi="宋体" w:eastAsia="方正仿宋_GBK"/>
          <w:color w:val="auto"/>
          <w:sz w:val="24"/>
        </w:rPr>
      </w:pPr>
    </w:p>
    <w:p w14:paraId="19E9791C">
      <w:pPr>
        <w:tabs>
          <w:tab w:val="left" w:pos="6300"/>
        </w:tabs>
        <w:snapToGrid w:val="0"/>
        <w:spacing w:line="500" w:lineRule="exact"/>
        <w:ind w:firstLine="570"/>
        <w:rPr>
          <w:rFonts w:hint="eastAsia" w:ascii="方正仿宋_GBK" w:hAnsi="宋体" w:eastAsia="方正仿宋_GBK"/>
          <w:color w:val="auto"/>
          <w:sz w:val="24"/>
        </w:rPr>
      </w:pPr>
    </w:p>
    <w:p w14:paraId="766F97F0">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被授权人：                                 供应商法定代表人：</w:t>
      </w:r>
    </w:p>
    <w:p w14:paraId="08B02C1C">
      <w:pPr>
        <w:tabs>
          <w:tab w:val="left" w:pos="6300"/>
        </w:tabs>
        <w:snapToGrid w:val="0"/>
        <w:spacing w:line="500" w:lineRule="exact"/>
        <w:ind w:firstLine="57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（签署或盖章）                                （签署或盖章）</w:t>
      </w:r>
    </w:p>
    <w:p w14:paraId="706AD2FB">
      <w:pPr>
        <w:tabs>
          <w:tab w:val="left" w:pos="6300"/>
        </w:tabs>
        <w:snapToGrid w:val="0"/>
        <w:spacing w:line="500" w:lineRule="exact"/>
        <w:ind w:firstLine="570"/>
        <w:rPr>
          <w:rFonts w:hint="eastAsia" w:ascii="方正仿宋_GBK" w:hAnsi="宋体" w:eastAsia="方正仿宋_GBK"/>
          <w:color w:val="auto"/>
          <w:sz w:val="24"/>
          <w:szCs w:val="28"/>
        </w:rPr>
      </w:pPr>
    </w:p>
    <w:p w14:paraId="642E7E0C">
      <w:pPr>
        <w:tabs>
          <w:tab w:val="left" w:pos="6300"/>
        </w:tabs>
        <w:snapToGrid w:val="0"/>
        <w:spacing w:line="500" w:lineRule="exact"/>
        <w:ind w:firstLine="570"/>
        <w:rPr>
          <w:rFonts w:hint="eastAsia" w:ascii="方正仿宋_GBK" w:hAnsi="宋体" w:eastAsia="方正仿宋_GBK"/>
          <w:color w:val="auto"/>
          <w:sz w:val="24"/>
        </w:rPr>
      </w:pPr>
    </w:p>
    <w:p w14:paraId="3A079EE3">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（附：被授权人身份证正反面复印件）</w:t>
      </w:r>
    </w:p>
    <w:p w14:paraId="1F74C5F3">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w:t>
      </w:r>
    </w:p>
    <w:p w14:paraId="7D2B715B">
      <w:pPr>
        <w:tabs>
          <w:tab w:val="left" w:pos="6300"/>
        </w:tabs>
        <w:snapToGrid w:val="0"/>
        <w:spacing w:line="500" w:lineRule="exact"/>
        <w:ind w:firstLine="570"/>
        <w:rPr>
          <w:rFonts w:hint="eastAsia" w:ascii="方正仿宋_GBK" w:hAnsi="宋体" w:eastAsia="方正仿宋_GBK"/>
          <w:color w:val="auto"/>
          <w:sz w:val="24"/>
        </w:rPr>
      </w:pPr>
    </w:p>
    <w:p w14:paraId="4A6C8B58">
      <w:pPr>
        <w:tabs>
          <w:tab w:val="left" w:pos="6300"/>
        </w:tabs>
        <w:snapToGrid w:val="0"/>
        <w:spacing w:line="500" w:lineRule="exact"/>
        <w:ind w:firstLine="570"/>
        <w:rPr>
          <w:rFonts w:hint="eastAsia" w:ascii="方正仿宋_GBK" w:hAnsi="宋体" w:eastAsia="方正仿宋_GBK"/>
          <w:color w:val="auto"/>
          <w:sz w:val="24"/>
        </w:rPr>
      </w:pPr>
    </w:p>
    <w:p w14:paraId="50FED5F5">
      <w:pPr>
        <w:tabs>
          <w:tab w:val="left" w:pos="6300"/>
        </w:tabs>
        <w:snapToGrid w:val="0"/>
        <w:spacing w:line="500" w:lineRule="exact"/>
        <w:ind w:right="480" w:firstLine="570"/>
        <w:jc w:val="right"/>
        <w:rPr>
          <w:rFonts w:hint="eastAsia" w:ascii="方正仿宋_GBK" w:hAnsi="宋体" w:eastAsia="方正仿宋_GBK"/>
          <w:color w:val="auto"/>
          <w:sz w:val="24"/>
        </w:rPr>
      </w:pPr>
      <w:r>
        <w:rPr>
          <w:rFonts w:hint="eastAsia" w:ascii="方正仿宋_GBK" w:hAnsi="宋体" w:eastAsia="方正仿宋_GBK"/>
          <w:color w:val="auto"/>
          <w:sz w:val="24"/>
        </w:rPr>
        <w:t>（供应商公章）</w:t>
      </w:r>
    </w:p>
    <w:p w14:paraId="1D96BD7A">
      <w:pPr>
        <w:tabs>
          <w:tab w:val="left" w:pos="6300"/>
        </w:tabs>
        <w:snapToGrid w:val="0"/>
        <w:spacing w:line="500" w:lineRule="exact"/>
        <w:ind w:right="480" w:firstLine="570"/>
        <w:jc w:val="right"/>
        <w:rPr>
          <w:rFonts w:hint="eastAsia" w:ascii="方正仿宋_GBK" w:hAnsi="宋体" w:eastAsia="方正仿宋_GBK"/>
          <w:color w:val="auto"/>
          <w:sz w:val="24"/>
        </w:rPr>
      </w:pPr>
      <w:r>
        <w:rPr>
          <w:rFonts w:hint="eastAsia" w:ascii="方正仿宋_GBK" w:hAnsi="宋体" w:eastAsia="方正仿宋_GBK"/>
          <w:color w:val="auto"/>
          <w:sz w:val="24"/>
        </w:rPr>
        <w:t>年   月   日</w:t>
      </w:r>
    </w:p>
    <w:p w14:paraId="5A9FFA54">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被授权人电话：XXXXXXX     电子邮箱：XXXXXX@XXXXX（若法定代表人办理并签署响应文件的可不填写）</w:t>
      </w:r>
    </w:p>
    <w:p w14:paraId="3EEBBB5B">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注：</w:t>
      </w:r>
    </w:p>
    <w:p w14:paraId="2B4B7D78">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1.若为法定代表人办理并签署响应文件的，不提供此文件。</w:t>
      </w:r>
    </w:p>
    <w:p w14:paraId="202DF23F">
      <w:pPr>
        <w:tabs>
          <w:tab w:val="left" w:pos="6300"/>
        </w:tabs>
        <w:snapToGrid w:val="0"/>
        <w:spacing w:line="500" w:lineRule="exact"/>
        <w:ind w:firstLine="570"/>
        <w:rPr>
          <w:rFonts w:hint="eastAsia" w:ascii="方正仿宋_GBK" w:hAnsi="仿宋" w:eastAsia="方正仿宋_GBK"/>
          <w:color w:val="auto"/>
          <w:sz w:val="24"/>
        </w:rPr>
      </w:pPr>
      <w:r>
        <w:rPr>
          <w:rFonts w:hint="eastAsia" w:ascii="方正仿宋_GBK" w:hAnsi="仿宋" w:eastAsia="方正仿宋_GBK"/>
          <w:color w:val="auto"/>
          <w:sz w:val="24"/>
        </w:rPr>
        <w:t>2.</w:t>
      </w:r>
      <w:r>
        <w:rPr>
          <w:rFonts w:hint="eastAsia" w:ascii="方正仿宋_GBK" w:hAnsi="仿宋" w:eastAsia="方正仿宋_GBK"/>
          <w:color w:val="auto"/>
          <w:sz w:val="24"/>
          <w:lang w:eastAsia="zh-CN"/>
        </w:rPr>
        <w:t>提供</w:t>
      </w:r>
      <w:r>
        <w:rPr>
          <w:rFonts w:hint="eastAsia" w:ascii="方正仿宋_GBK" w:hAnsi="宋体" w:eastAsia="方正仿宋_GBK"/>
          <w:color w:val="auto"/>
          <w:sz w:val="24"/>
        </w:rPr>
        <w:t>被授权人</w:t>
      </w:r>
      <w:r>
        <w:rPr>
          <w:rFonts w:hint="eastAsia" w:ascii="方正仿宋_GBK" w:hAnsi="仿宋" w:eastAsia="方正仿宋_GBK"/>
          <w:color w:val="auto"/>
          <w:sz w:val="24"/>
          <w:lang w:eastAsia="zh-CN"/>
        </w:rPr>
        <w:t>社保证明文件</w:t>
      </w:r>
      <w:r>
        <w:rPr>
          <w:rFonts w:hint="eastAsia" w:ascii="方正仿宋_GBK" w:hAnsi="仿宋" w:eastAsia="方正仿宋_GBK"/>
          <w:color w:val="auto"/>
          <w:sz w:val="24"/>
        </w:rPr>
        <w:t>。</w:t>
      </w:r>
    </w:p>
    <w:p w14:paraId="073B8930">
      <w:pPr>
        <w:tabs>
          <w:tab w:val="left" w:pos="6300"/>
        </w:tabs>
        <w:snapToGrid w:val="0"/>
        <w:spacing w:line="500" w:lineRule="exact"/>
        <w:ind w:firstLine="570"/>
        <w:rPr>
          <w:rFonts w:hint="eastAsia" w:ascii="方正仿宋_GBK" w:hAnsi="宋体" w:eastAsia="方正仿宋_GBK"/>
          <w:color w:val="auto"/>
          <w:sz w:val="24"/>
          <w:szCs w:val="24"/>
        </w:rPr>
      </w:pPr>
      <w:r>
        <w:rPr>
          <w:rFonts w:ascii="宋体" w:hAnsi="宋体"/>
          <w:color w:val="auto"/>
        </w:rPr>
        <w:br w:type="column"/>
      </w:r>
      <w:r>
        <w:rPr>
          <w:rFonts w:hint="eastAsia" w:ascii="方正仿宋_GBK" w:hAnsi="宋体" w:eastAsia="方正仿宋_GBK"/>
          <w:color w:val="auto"/>
          <w:sz w:val="24"/>
          <w:szCs w:val="24"/>
        </w:rPr>
        <w:t>（四）</w:t>
      </w:r>
      <w:r>
        <w:rPr>
          <w:rFonts w:hint="eastAsia" w:ascii="方正仿宋_GBK" w:hAnsi="宋体" w:eastAsia="方正仿宋_GBK"/>
          <w:color w:val="auto"/>
          <w:sz w:val="24"/>
          <w:szCs w:val="28"/>
        </w:rPr>
        <w:t>基本资格条件承诺函</w:t>
      </w:r>
    </w:p>
    <w:p w14:paraId="7E9C2826">
      <w:pPr>
        <w:tabs>
          <w:tab w:val="left" w:pos="6300"/>
        </w:tabs>
        <w:snapToGrid w:val="0"/>
        <w:spacing w:line="500" w:lineRule="exact"/>
        <w:ind w:firstLine="640" w:firstLineChars="200"/>
        <w:jc w:val="center"/>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基本资格条件承诺函</w:t>
      </w:r>
    </w:p>
    <w:p w14:paraId="607F277F">
      <w:pPr>
        <w:tabs>
          <w:tab w:val="left" w:pos="6300"/>
        </w:tabs>
        <w:snapToGrid w:val="0"/>
        <w:spacing w:line="530" w:lineRule="exact"/>
        <w:rPr>
          <w:color w:val="auto"/>
          <w:sz w:val="24"/>
        </w:rPr>
      </w:pPr>
    </w:p>
    <w:p w14:paraId="7F06C933">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致</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（采购人或采购代理机构名称）：</w:t>
      </w:r>
    </w:p>
    <w:p w14:paraId="408B55EB">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（供应商名称）郑重承诺：</w:t>
      </w:r>
    </w:p>
    <w:p w14:paraId="596FA3A1">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1.我方具有良好的商业信誉和健全的财务会计制度，具有履行合同所必需的设备和专业技术能力，具</w:t>
      </w:r>
      <w:r>
        <w:rPr>
          <w:rFonts w:hint="eastAsia" w:ascii="方正仿宋_GBK" w:hAnsi="仿宋" w:eastAsia="方正仿宋_GBK"/>
          <w:color w:val="auto"/>
          <w:sz w:val="24"/>
          <w:lang w:val="zh-CN"/>
        </w:rPr>
        <w:t>有依法缴纳税收和社会保障金的良好记录</w:t>
      </w:r>
      <w:r>
        <w:rPr>
          <w:rFonts w:hint="eastAsia" w:ascii="方正仿宋_GBK" w:hAnsi="仿宋" w:eastAsia="方正仿宋_GBK"/>
          <w:color w:val="auto"/>
          <w:sz w:val="24"/>
        </w:rPr>
        <w:t>，参加本项目采购活动前三年内无重大违法活动记录。</w:t>
      </w:r>
    </w:p>
    <w:p w14:paraId="48F65EF5">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2.我方未列入在信用中国网站（www.creditchina.gov.cn）“失信被执行人”、“重大税收违法案件当事人名单”中，也未列入中国政府采购网（www.ccgp.gov.cn）“政府采购严重违法失信行为记录名单”中。</w:t>
      </w:r>
    </w:p>
    <w:p w14:paraId="7781C77A">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3.我方在采购项目评审（评标）环节结束后，随时接受采购人、采购代理机构的检查验证，配合提供相关证明材料，证明符合《中华人民共和国政府采购法》规定的供应商基本资格条件。</w:t>
      </w:r>
    </w:p>
    <w:p w14:paraId="6B1255E9">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我方对以上承诺负全部法律责任。</w:t>
      </w:r>
    </w:p>
    <w:p w14:paraId="5D67E0F7">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特此承诺。</w:t>
      </w:r>
    </w:p>
    <w:p w14:paraId="49E3DA73">
      <w:pPr>
        <w:tabs>
          <w:tab w:val="left" w:pos="6300"/>
        </w:tabs>
        <w:snapToGrid w:val="0"/>
        <w:spacing w:line="500" w:lineRule="exact"/>
        <w:ind w:firstLine="480" w:firstLineChars="200"/>
        <w:rPr>
          <w:rFonts w:hint="eastAsia" w:ascii="方正仿宋_GBK" w:hAnsi="仿宋" w:eastAsia="方正仿宋_GBK"/>
          <w:color w:val="auto"/>
          <w:sz w:val="24"/>
        </w:rPr>
      </w:pPr>
    </w:p>
    <w:p w14:paraId="53058442">
      <w:pPr>
        <w:tabs>
          <w:tab w:val="left" w:pos="6300"/>
        </w:tabs>
        <w:snapToGrid w:val="0"/>
        <w:spacing w:line="500" w:lineRule="exact"/>
        <w:ind w:firstLine="480" w:firstLineChars="200"/>
        <w:jc w:val="right"/>
        <w:rPr>
          <w:rFonts w:hint="eastAsia" w:ascii="方正仿宋_GBK" w:hAnsi="仿宋" w:eastAsia="方正仿宋_GBK"/>
          <w:color w:val="auto"/>
          <w:sz w:val="24"/>
        </w:rPr>
      </w:pPr>
      <w:r>
        <w:rPr>
          <w:rFonts w:hint="eastAsia" w:ascii="方正仿宋_GBK" w:hAnsi="仿宋" w:eastAsia="方正仿宋_GBK"/>
          <w:color w:val="auto"/>
          <w:sz w:val="24"/>
        </w:rPr>
        <w:t>（供应商公章）</w:t>
      </w:r>
    </w:p>
    <w:p w14:paraId="45C02D83">
      <w:pPr>
        <w:tabs>
          <w:tab w:val="left" w:pos="6300"/>
        </w:tabs>
        <w:snapToGrid w:val="0"/>
        <w:spacing w:line="500" w:lineRule="exact"/>
        <w:ind w:firstLine="7920" w:firstLineChars="3300"/>
        <w:rPr>
          <w:rFonts w:hint="eastAsia" w:ascii="方正仿宋_GBK" w:hAnsi="宋体" w:eastAsia="方正仿宋_GBK"/>
          <w:color w:val="auto"/>
          <w:sz w:val="24"/>
          <w:szCs w:val="24"/>
        </w:rPr>
      </w:pPr>
      <w:r>
        <w:rPr>
          <w:rFonts w:hint="eastAsia" w:ascii="方正仿宋_GBK" w:hAnsi="仿宋" w:eastAsia="方正仿宋_GBK"/>
          <w:color w:val="auto"/>
          <w:sz w:val="24"/>
        </w:rPr>
        <w:t>年   月   日</w:t>
      </w:r>
    </w:p>
    <w:p w14:paraId="50A8FCF0">
      <w:pPr>
        <w:snapToGrid w:val="0"/>
        <w:spacing w:line="400" w:lineRule="exact"/>
        <w:ind w:firstLine="560" w:firstLineChars="200"/>
        <w:rPr>
          <w:rFonts w:hint="eastAsia" w:ascii="方正仿宋_GBK" w:hAnsi="宋体" w:eastAsia="方正仿宋_GBK"/>
          <w:color w:val="auto"/>
          <w:sz w:val="24"/>
          <w:szCs w:val="24"/>
          <w:lang w:eastAsia="zh-CN"/>
        </w:rPr>
      </w:pPr>
      <w:r>
        <w:rPr>
          <w:rFonts w:ascii="方正仿宋_GBK" w:hAnsi="宋体" w:eastAsia="方正仿宋_GBK"/>
          <w:color w:val="auto"/>
        </w:rPr>
        <w:br w:type="page"/>
      </w:r>
      <w:r>
        <w:rPr>
          <w:rFonts w:hint="eastAsia" w:ascii="方正仿宋_GBK" w:hAnsi="宋体" w:eastAsia="方正仿宋_GBK"/>
          <w:color w:val="auto"/>
          <w:sz w:val="24"/>
          <w:szCs w:val="24"/>
        </w:rPr>
        <w:t>（五）特定资格条件证明文件</w:t>
      </w:r>
      <w:r>
        <w:rPr>
          <w:rFonts w:hint="eastAsia" w:ascii="方正仿宋_GBK" w:hAnsi="宋体" w:eastAsia="方正仿宋_GBK"/>
          <w:color w:val="auto"/>
          <w:sz w:val="24"/>
          <w:szCs w:val="24"/>
          <w:lang w:eastAsia="zh-CN"/>
        </w:rPr>
        <w:t>（如有）</w:t>
      </w:r>
    </w:p>
    <w:p w14:paraId="7C726FB3">
      <w:pPr>
        <w:tabs>
          <w:tab w:val="left" w:pos="6300"/>
        </w:tabs>
        <w:snapToGrid w:val="0"/>
        <w:spacing w:line="400" w:lineRule="exact"/>
        <w:ind w:firstLine="480" w:firstLineChars="200"/>
        <w:rPr>
          <w:rFonts w:hint="eastAsia" w:ascii="方正仿宋_GBK" w:hAnsi="宋体" w:eastAsia="方正仿宋_GBK"/>
          <w:color w:val="auto"/>
          <w:sz w:val="24"/>
          <w:szCs w:val="24"/>
        </w:rPr>
      </w:pPr>
    </w:p>
    <w:p w14:paraId="6F31A13B">
      <w:pPr>
        <w:pStyle w:val="3"/>
        <w:adjustRightInd w:val="0"/>
        <w:snapToGrid w:val="0"/>
        <w:spacing w:before="0" w:after="0" w:line="400" w:lineRule="exact"/>
        <w:ind w:firstLine="560" w:firstLineChars="200"/>
        <w:rPr>
          <w:rFonts w:hint="eastAsia" w:ascii="方正仿宋_GBK" w:hAnsi="宋体" w:eastAsia="方正仿宋_GBK"/>
          <w:color w:val="auto"/>
          <w:sz w:val="24"/>
        </w:rPr>
      </w:pPr>
      <w:bookmarkStart w:id="133" w:name="_Toc14422"/>
      <w:r>
        <w:rPr>
          <w:rFonts w:ascii="方正仿宋_GBK" w:hAnsi="宋体" w:eastAsia="方正仿宋_GBK"/>
          <w:b w:val="0"/>
          <w:color w:val="auto"/>
          <w:sz w:val="28"/>
        </w:rPr>
        <w:br w:type="page"/>
      </w:r>
      <w:bookmarkStart w:id="134" w:name="_Toc106030910"/>
      <w:bookmarkStart w:id="135" w:name="_Toc76462354"/>
      <w:r>
        <w:rPr>
          <w:rFonts w:hint="eastAsia" w:ascii="方正仿宋_GBK" w:hAnsi="宋体" w:eastAsia="方正仿宋_GBK"/>
          <w:color w:val="auto"/>
          <w:sz w:val="24"/>
        </w:rPr>
        <w:t>五、其他资料</w:t>
      </w:r>
      <w:bookmarkEnd w:id="133"/>
      <w:bookmarkEnd w:id="134"/>
      <w:bookmarkEnd w:id="135"/>
    </w:p>
    <w:p w14:paraId="136141DF">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 xml:space="preserve">）其他与项目有关的资料（自附） </w:t>
      </w:r>
    </w:p>
    <w:p w14:paraId="697B3A08">
      <w:pPr>
        <w:spacing w:line="360" w:lineRule="auto"/>
        <w:ind w:firstLine="480" w:firstLineChars="200"/>
        <w:rPr>
          <w:rFonts w:hint="eastAsia" w:ascii="方正仿宋_GBK" w:hAnsi="宋体" w:eastAsia="方正仿宋_GBK"/>
          <w:color w:val="auto"/>
          <w:sz w:val="24"/>
          <w:szCs w:val="24"/>
        </w:rPr>
      </w:pPr>
    </w:p>
    <w:p w14:paraId="41574701">
      <w:pPr>
        <w:spacing w:line="360" w:lineRule="auto"/>
        <w:ind w:firstLine="480" w:firstLineChars="200"/>
        <w:jc w:val="center"/>
        <w:rPr>
          <w:rFonts w:hint="eastAsia" w:ascii="方正仿宋_GBK" w:hAnsi="宋体" w:eastAsia="方正仿宋_GBK"/>
          <w:color w:val="auto"/>
          <w:sz w:val="24"/>
          <w:szCs w:val="24"/>
        </w:rPr>
      </w:pPr>
    </w:p>
    <w:p w14:paraId="34DEBF81">
      <w:pPr>
        <w:spacing w:line="360" w:lineRule="auto"/>
        <w:ind w:firstLine="480" w:firstLineChars="200"/>
        <w:jc w:val="center"/>
        <w:rPr>
          <w:rFonts w:hint="eastAsia" w:ascii="方正仿宋_GBK" w:hAnsi="宋体" w:eastAsia="方正仿宋_GBK"/>
          <w:color w:val="auto"/>
          <w:sz w:val="24"/>
          <w:szCs w:val="24"/>
        </w:rPr>
      </w:pPr>
    </w:p>
    <w:p w14:paraId="26C6ABF2">
      <w:pPr>
        <w:spacing w:line="360" w:lineRule="auto"/>
        <w:ind w:firstLine="480" w:firstLineChars="200"/>
        <w:jc w:val="center"/>
        <w:rPr>
          <w:rFonts w:hint="eastAsia" w:ascii="方正仿宋_GBK" w:hAnsi="宋体" w:eastAsia="方正仿宋_GBK"/>
          <w:color w:val="auto"/>
          <w:sz w:val="24"/>
          <w:szCs w:val="24"/>
        </w:rPr>
      </w:pPr>
    </w:p>
    <w:p w14:paraId="729CE2E7">
      <w:pPr>
        <w:spacing w:line="360" w:lineRule="auto"/>
        <w:ind w:firstLine="480" w:firstLineChars="200"/>
        <w:jc w:val="center"/>
        <w:rPr>
          <w:rFonts w:hint="eastAsia" w:ascii="方正仿宋_GBK" w:hAnsi="宋体" w:eastAsia="方正仿宋_GBK"/>
          <w:color w:val="auto"/>
          <w:sz w:val="24"/>
          <w:szCs w:val="24"/>
        </w:rPr>
      </w:pPr>
    </w:p>
    <w:p w14:paraId="183E7613">
      <w:pPr>
        <w:spacing w:line="360" w:lineRule="auto"/>
        <w:ind w:firstLine="480" w:firstLineChars="200"/>
        <w:jc w:val="center"/>
        <w:rPr>
          <w:rFonts w:hint="eastAsia" w:ascii="方正仿宋_GBK" w:hAnsi="宋体" w:eastAsia="方正仿宋_GBK"/>
          <w:color w:val="auto"/>
          <w:sz w:val="24"/>
          <w:szCs w:val="24"/>
        </w:rPr>
      </w:pPr>
    </w:p>
    <w:p w14:paraId="1C46E002">
      <w:pPr>
        <w:spacing w:line="360" w:lineRule="auto"/>
        <w:ind w:firstLine="480" w:firstLineChars="200"/>
        <w:jc w:val="center"/>
        <w:rPr>
          <w:rFonts w:hint="eastAsia" w:ascii="方正仿宋_GBK" w:hAnsi="宋体" w:eastAsia="方正仿宋_GBK"/>
          <w:color w:val="auto"/>
          <w:sz w:val="24"/>
          <w:szCs w:val="24"/>
        </w:rPr>
      </w:pPr>
    </w:p>
    <w:p w14:paraId="41A772CC">
      <w:pPr>
        <w:spacing w:line="360" w:lineRule="auto"/>
        <w:ind w:firstLine="480" w:firstLineChars="200"/>
        <w:jc w:val="center"/>
        <w:rPr>
          <w:rFonts w:hint="eastAsia" w:ascii="方正仿宋_GBK" w:hAnsi="宋体" w:eastAsia="方正仿宋_GBK"/>
          <w:color w:val="auto"/>
          <w:sz w:val="24"/>
          <w:szCs w:val="24"/>
        </w:rPr>
      </w:pPr>
    </w:p>
    <w:p w14:paraId="4D4DA2A7">
      <w:pPr>
        <w:spacing w:line="360" w:lineRule="auto"/>
        <w:ind w:firstLine="480" w:firstLineChars="200"/>
        <w:jc w:val="center"/>
        <w:rPr>
          <w:rFonts w:hint="eastAsia" w:ascii="方正仿宋_GBK" w:hAnsi="宋体" w:eastAsia="方正仿宋_GBK"/>
          <w:color w:val="auto"/>
          <w:sz w:val="24"/>
          <w:szCs w:val="24"/>
        </w:rPr>
      </w:pPr>
    </w:p>
    <w:p w14:paraId="47CC6654">
      <w:pPr>
        <w:spacing w:line="360" w:lineRule="auto"/>
        <w:ind w:firstLine="480" w:firstLineChars="200"/>
        <w:jc w:val="center"/>
        <w:rPr>
          <w:rFonts w:hint="eastAsia" w:ascii="方正仿宋_GBK" w:hAnsi="宋体" w:eastAsia="方正仿宋_GBK"/>
          <w:color w:val="auto"/>
          <w:sz w:val="24"/>
          <w:szCs w:val="24"/>
        </w:rPr>
      </w:pPr>
    </w:p>
    <w:p w14:paraId="1499B82E">
      <w:pPr>
        <w:spacing w:line="360" w:lineRule="auto"/>
        <w:ind w:firstLine="480" w:firstLineChars="200"/>
        <w:jc w:val="center"/>
        <w:rPr>
          <w:rFonts w:hint="eastAsia" w:ascii="方正仿宋_GBK" w:hAnsi="宋体" w:eastAsia="方正仿宋_GBK"/>
          <w:color w:val="auto"/>
          <w:sz w:val="24"/>
          <w:szCs w:val="24"/>
        </w:rPr>
      </w:pPr>
    </w:p>
    <w:p w14:paraId="6D9D240C">
      <w:pPr>
        <w:spacing w:line="360" w:lineRule="auto"/>
        <w:ind w:firstLine="480" w:firstLineChars="200"/>
        <w:jc w:val="center"/>
        <w:rPr>
          <w:rFonts w:hint="eastAsia" w:ascii="方正仿宋_GBK" w:hAnsi="宋体" w:eastAsia="方正仿宋_GBK"/>
          <w:color w:val="auto"/>
          <w:sz w:val="24"/>
          <w:szCs w:val="24"/>
        </w:rPr>
      </w:pPr>
    </w:p>
    <w:p w14:paraId="704D5A8B">
      <w:pPr>
        <w:spacing w:line="360" w:lineRule="auto"/>
        <w:ind w:firstLine="480" w:firstLineChars="200"/>
        <w:jc w:val="center"/>
        <w:rPr>
          <w:rFonts w:hint="eastAsia" w:ascii="方正仿宋_GBK" w:hAnsi="宋体" w:eastAsia="方正仿宋_GBK"/>
          <w:color w:val="auto"/>
          <w:sz w:val="24"/>
          <w:szCs w:val="24"/>
        </w:rPr>
      </w:pPr>
    </w:p>
    <w:p w14:paraId="52CEDD60">
      <w:pPr>
        <w:spacing w:line="360" w:lineRule="auto"/>
        <w:ind w:firstLine="480" w:firstLineChars="200"/>
        <w:jc w:val="center"/>
        <w:rPr>
          <w:rFonts w:hint="eastAsia" w:ascii="方正仿宋_GBK" w:hAnsi="宋体" w:eastAsia="方正仿宋_GBK"/>
          <w:color w:val="auto"/>
          <w:sz w:val="24"/>
          <w:szCs w:val="24"/>
        </w:rPr>
      </w:pPr>
    </w:p>
    <w:p w14:paraId="43BB5558">
      <w:pPr>
        <w:spacing w:line="360" w:lineRule="auto"/>
        <w:ind w:firstLine="480" w:firstLineChars="200"/>
        <w:jc w:val="center"/>
        <w:rPr>
          <w:rFonts w:hint="eastAsia" w:ascii="方正仿宋_GBK" w:hAnsi="宋体" w:eastAsia="方正仿宋_GBK"/>
          <w:color w:val="auto"/>
          <w:sz w:val="24"/>
          <w:szCs w:val="24"/>
        </w:rPr>
      </w:pPr>
    </w:p>
    <w:p w14:paraId="2A113A94">
      <w:pPr>
        <w:spacing w:line="360" w:lineRule="auto"/>
        <w:ind w:firstLine="480" w:firstLineChars="200"/>
        <w:jc w:val="center"/>
        <w:rPr>
          <w:rFonts w:hint="eastAsia" w:ascii="方正仿宋_GBK" w:hAnsi="宋体" w:eastAsia="方正仿宋_GBK"/>
          <w:color w:val="auto"/>
          <w:sz w:val="24"/>
          <w:szCs w:val="24"/>
        </w:rPr>
      </w:pPr>
    </w:p>
    <w:p w14:paraId="23789147">
      <w:pPr>
        <w:spacing w:line="360" w:lineRule="auto"/>
        <w:ind w:firstLine="480" w:firstLineChars="200"/>
        <w:jc w:val="center"/>
        <w:outlineLvl w:val="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（结束）</w:t>
      </w:r>
    </w:p>
    <w:p w14:paraId="43C4FB30">
      <w:pPr>
        <w:rPr>
          <w:rFonts w:hint="eastAsia" w:ascii="方正仿宋_GBK" w:hAnsi="宋体" w:eastAsia="方正仿宋_GBK"/>
          <w:color w:val="auto"/>
          <w:sz w:val="24"/>
          <w:szCs w:val="24"/>
        </w:rPr>
      </w:pPr>
      <w:r>
        <w:rPr>
          <w:rFonts w:hint="eastAsia" w:ascii="方正仿宋_GBK" w:hAnsi="宋体" w:eastAsia="方正仿宋_GBK"/>
          <w:color w:val="auto"/>
          <w:sz w:val="24"/>
          <w:szCs w:val="24"/>
        </w:rPr>
        <w:br w:type="page"/>
      </w:r>
    </w:p>
    <w:p w14:paraId="78BD91A1">
      <w:pPr>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附件：重庆华大工程管理有限公司采购文件发售登记表</w:t>
      </w:r>
    </w:p>
    <w:p w14:paraId="2109C972">
      <w:pPr>
        <w:jc w:val="left"/>
        <w:rPr>
          <w:rFonts w:ascii="宋体" w:hAnsi="宋体" w:cs="宋体"/>
          <w:b/>
          <w:bCs/>
          <w:color w:val="auto"/>
          <w:spacing w:val="40"/>
          <w:sz w:val="32"/>
          <w:szCs w:val="32"/>
          <w:highlight w:val="none"/>
        </w:rPr>
      </w:pPr>
    </w:p>
    <w:tbl>
      <w:tblPr>
        <w:tblStyle w:val="58"/>
        <w:tblW w:w="889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730"/>
        <w:gridCol w:w="1150"/>
        <w:gridCol w:w="4416"/>
      </w:tblGrid>
      <w:tr w14:paraId="6C26ED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603" w:type="dxa"/>
            <w:noWrap w:val="0"/>
            <w:vAlign w:val="center"/>
          </w:tcPr>
          <w:p w14:paraId="35AD1F59">
            <w:pPr>
              <w:jc w:val="center"/>
              <w:rPr>
                <w:rFonts w:ascii="宋体" w:hAnsi="宋体" w:cs="宋体"/>
                <w:color w:val="auto"/>
                <w:sz w:val="30"/>
                <w:szCs w:val="30"/>
                <w:highlight w:val="none"/>
              </w:rPr>
            </w:pPr>
            <w:r>
              <w:rPr>
                <w:rFonts w:hint="eastAsia" w:ascii="宋体" w:hAnsi="宋体" w:cs="宋体"/>
                <w:color w:val="auto"/>
                <w:sz w:val="30"/>
                <w:szCs w:val="30"/>
                <w:highlight w:val="none"/>
              </w:rPr>
              <w:t>项目编号</w:t>
            </w:r>
          </w:p>
        </w:tc>
        <w:tc>
          <w:tcPr>
            <w:tcW w:w="7296" w:type="dxa"/>
            <w:gridSpan w:val="3"/>
            <w:noWrap w:val="0"/>
            <w:vAlign w:val="center"/>
          </w:tcPr>
          <w:p w14:paraId="7FEA8708">
            <w:pPr>
              <w:jc w:val="center"/>
              <w:rPr>
                <w:rFonts w:ascii="宋体" w:hAnsi="宋体" w:cs="宋体"/>
                <w:color w:val="auto"/>
                <w:sz w:val="30"/>
                <w:szCs w:val="30"/>
                <w:highlight w:val="none"/>
              </w:rPr>
            </w:pPr>
          </w:p>
        </w:tc>
      </w:tr>
      <w:tr w14:paraId="6C2DB3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1603" w:type="dxa"/>
            <w:noWrap w:val="0"/>
            <w:vAlign w:val="center"/>
          </w:tcPr>
          <w:p w14:paraId="676DD022">
            <w:pPr>
              <w:jc w:val="center"/>
              <w:rPr>
                <w:rFonts w:ascii="宋体" w:hAnsi="宋体" w:cs="宋体"/>
                <w:color w:val="auto"/>
                <w:sz w:val="30"/>
                <w:szCs w:val="30"/>
                <w:highlight w:val="none"/>
              </w:rPr>
            </w:pPr>
            <w:r>
              <w:rPr>
                <w:rFonts w:hint="eastAsia" w:ascii="宋体" w:hAnsi="宋体" w:cs="宋体"/>
                <w:color w:val="auto"/>
                <w:sz w:val="30"/>
                <w:szCs w:val="30"/>
                <w:highlight w:val="none"/>
              </w:rPr>
              <w:t>项目名称</w:t>
            </w:r>
          </w:p>
        </w:tc>
        <w:tc>
          <w:tcPr>
            <w:tcW w:w="7296" w:type="dxa"/>
            <w:gridSpan w:val="3"/>
            <w:noWrap w:val="0"/>
            <w:vAlign w:val="center"/>
          </w:tcPr>
          <w:p w14:paraId="468E06F1">
            <w:pPr>
              <w:jc w:val="center"/>
              <w:rPr>
                <w:rFonts w:ascii="宋体" w:hAnsi="宋体" w:cs="宋体"/>
                <w:color w:val="auto"/>
                <w:sz w:val="30"/>
                <w:szCs w:val="30"/>
                <w:highlight w:val="none"/>
              </w:rPr>
            </w:pPr>
          </w:p>
        </w:tc>
      </w:tr>
      <w:tr w14:paraId="7EB87D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1603" w:type="dxa"/>
            <w:noWrap w:val="0"/>
            <w:vAlign w:val="center"/>
          </w:tcPr>
          <w:p w14:paraId="2719F493">
            <w:pPr>
              <w:jc w:val="center"/>
              <w:rPr>
                <w:rFonts w:ascii="宋体" w:hAnsi="宋体" w:cs="宋体"/>
                <w:color w:val="auto"/>
                <w:sz w:val="30"/>
                <w:szCs w:val="30"/>
                <w:highlight w:val="none"/>
              </w:rPr>
            </w:pPr>
            <w:r>
              <w:rPr>
                <w:rFonts w:hint="eastAsia" w:ascii="宋体" w:hAnsi="宋体" w:cs="宋体"/>
                <w:color w:val="auto"/>
                <w:sz w:val="30"/>
                <w:szCs w:val="30"/>
                <w:highlight w:val="none"/>
              </w:rPr>
              <w:t>投标人名称</w:t>
            </w:r>
          </w:p>
        </w:tc>
        <w:tc>
          <w:tcPr>
            <w:tcW w:w="7296" w:type="dxa"/>
            <w:gridSpan w:val="3"/>
            <w:noWrap w:val="0"/>
            <w:vAlign w:val="bottom"/>
          </w:tcPr>
          <w:p w14:paraId="706A1313">
            <w:pPr>
              <w:jc w:val="right"/>
              <w:rPr>
                <w:rFonts w:ascii="宋体" w:hAnsi="宋体" w:cs="宋体"/>
                <w:color w:val="auto"/>
                <w:sz w:val="30"/>
                <w:szCs w:val="30"/>
                <w:highlight w:val="none"/>
              </w:rPr>
            </w:pPr>
            <w:r>
              <w:rPr>
                <w:rFonts w:hint="eastAsia" w:ascii="宋体" w:hAnsi="宋体" w:cs="宋体"/>
                <w:color w:val="auto"/>
                <w:sz w:val="30"/>
                <w:szCs w:val="30"/>
                <w:highlight w:val="none"/>
              </w:rPr>
              <w:t>（投标人公章）</w:t>
            </w:r>
          </w:p>
        </w:tc>
      </w:tr>
      <w:tr w14:paraId="4E14AF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603" w:type="dxa"/>
            <w:noWrap w:val="0"/>
            <w:vAlign w:val="center"/>
          </w:tcPr>
          <w:p w14:paraId="2421F388">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w:t>
            </w:r>
          </w:p>
        </w:tc>
        <w:tc>
          <w:tcPr>
            <w:tcW w:w="1730" w:type="dxa"/>
            <w:noWrap w:val="0"/>
            <w:vAlign w:val="center"/>
          </w:tcPr>
          <w:p w14:paraId="618C22EF">
            <w:pPr>
              <w:jc w:val="left"/>
              <w:rPr>
                <w:rFonts w:ascii="宋体" w:hAnsi="宋体" w:cs="宋体"/>
                <w:color w:val="auto"/>
                <w:sz w:val="30"/>
                <w:szCs w:val="30"/>
                <w:highlight w:val="none"/>
              </w:rPr>
            </w:pPr>
          </w:p>
        </w:tc>
        <w:tc>
          <w:tcPr>
            <w:tcW w:w="1150" w:type="dxa"/>
            <w:noWrap w:val="0"/>
            <w:vAlign w:val="center"/>
          </w:tcPr>
          <w:p w14:paraId="535F68F3">
            <w:pPr>
              <w:jc w:val="left"/>
              <w:rPr>
                <w:rFonts w:ascii="宋体" w:hAnsi="宋体" w:cs="宋体"/>
                <w:color w:val="auto"/>
                <w:sz w:val="30"/>
                <w:szCs w:val="30"/>
                <w:highlight w:val="none"/>
              </w:rPr>
            </w:pPr>
            <w:r>
              <w:rPr>
                <w:rFonts w:hint="eastAsia" w:ascii="宋体" w:hAnsi="宋体" w:cs="宋体"/>
                <w:color w:val="auto"/>
                <w:sz w:val="30"/>
                <w:szCs w:val="30"/>
                <w:highlight w:val="none"/>
              </w:rPr>
              <w:t>手机</w:t>
            </w:r>
          </w:p>
        </w:tc>
        <w:tc>
          <w:tcPr>
            <w:tcW w:w="4416" w:type="dxa"/>
            <w:noWrap w:val="0"/>
            <w:vAlign w:val="center"/>
          </w:tcPr>
          <w:p w14:paraId="1FE43DBC">
            <w:pPr>
              <w:jc w:val="left"/>
              <w:rPr>
                <w:rFonts w:ascii="宋体" w:hAnsi="宋体" w:cs="宋体"/>
                <w:color w:val="auto"/>
                <w:sz w:val="30"/>
                <w:szCs w:val="30"/>
                <w:highlight w:val="none"/>
              </w:rPr>
            </w:pPr>
          </w:p>
        </w:tc>
      </w:tr>
      <w:tr w14:paraId="2E72FE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603" w:type="dxa"/>
            <w:noWrap w:val="0"/>
            <w:vAlign w:val="center"/>
          </w:tcPr>
          <w:p w14:paraId="7001DA72">
            <w:pPr>
              <w:jc w:val="center"/>
              <w:rPr>
                <w:rFonts w:ascii="宋体" w:hAnsi="宋体" w:cs="宋体"/>
                <w:color w:val="auto"/>
                <w:sz w:val="30"/>
                <w:szCs w:val="30"/>
                <w:highlight w:val="none"/>
              </w:rPr>
            </w:pPr>
            <w:r>
              <w:rPr>
                <w:rFonts w:hint="eastAsia" w:ascii="宋体" w:hAnsi="宋体" w:cs="宋体"/>
                <w:color w:val="auto"/>
                <w:sz w:val="30"/>
                <w:szCs w:val="30"/>
                <w:highlight w:val="none"/>
              </w:rPr>
              <w:t>办公电话</w:t>
            </w:r>
          </w:p>
        </w:tc>
        <w:tc>
          <w:tcPr>
            <w:tcW w:w="1730" w:type="dxa"/>
            <w:noWrap w:val="0"/>
            <w:vAlign w:val="center"/>
          </w:tcPr>
          <w:p w14:paraId="0244E019">
            <w:pPr>
              <w:jc w:val="left"/>
              <w:rPr>
                <w:rFonts w:ascii="宋体" w:hAnsi="宋体" w:cs="宋体"/>
                <w:color w:val="auto"/>
                <w:sz w:val="30"/>
                <w:szCs w:val="30"/>
                <w:highlight w:val="none"/>
              </w:rPr>
            </w:pPr>
          </w:p>
        </w:tc>
        <w:tc>
          <w:tcPr>
            <w:tcW w:w="1150" w:type="dxa"/>
            <w:noWrap w:val="0"/>
            <w:vAlign w:val="center"/>
          </w:tcPr>
          <w:p w14:paraId="2372EAEE">
            <w:pPr>
              <w:jc w:val="left"/>
              <w:rPr>
                <w:rFonts w:ascii="宋体" w:hAnsi="宋体" w:cs="宋体"/>
                <w:color w:val="auto"/>
                <w:sz w:val="30"/>
                <w:szCs w:val="30"/>
                <w:highlight w:val="none"/>
              </w:rPr>
            </w:pPr>
            <w:r>
              <w:rPr>
                <w:rFonts w:hint="eastAsia" w:ascii="宋体" w:hAnsi="宋体" w:cs="宋体"/>
                <w:color w:val="auto"/>
                <w:sz w:val="30"/>
                <w:szCs w:val="30"/>
                <w:highlight w:val="none"/>
              </w:rPr>
              <w:t>传真</w:t>
            </w:r>
          </w:p>
        </w:tc>
        <w:tc>
          <w:tcPr>
            <w:tcW w:w="4416" w:type="dxa"/>
            <w:noWrap w:val="0"/>
            <w:vAlign w:val="center"/>
          </w:tcPr>
          <w:p w14:paraId="32ACFF40">
            <w:pPr>
              <w:jc w:val="left"/>
              <w:rPr>
                <w:rFonts w:ascii="宋体" w:hAnsi="宋体" w:cs="宋体"/>
                <w:color w:val="auto"/>
                <w:sz w:val="30"/>
                <w:szCs w:val="30"/>
                <w:highlight w:val="none"/>
              </w:rPr>
            </w:pPr>
          </w:p>
        </w:tc>
      </w:tr>
      <w:tr w14:paraId="10CCFE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603" w:type="dxa"/>
            <w:noWrap w:val="0"/>
            <w:vAlign w:val="center"/>
          </w:tcPr>
          <w:p w14:paraId="122FC35D">
            <w:pPr>
              <w:jc w:val="center"/>
              <w:rPr>
                <w:rFonts w:ascii="宋体" w:hAnsi="宋体" w:cs="宋体"/>
                <w:color w:val="auto"/>
                <w:sz w:val="30"/>
                <w:szCs w:val="30"/>
                <w:highlight w:val="none"/>
              </w:rPr>
            </w:pPr>
            <w:r>
              <w:rPr>
                <w:rFonts w:hint="eastAsia" w:ascii="宋体" w:hAnsi="宋体" w:cs="宋体"/>
                <w:color w:val="auto"/>
                <w:sz w:val="30"/>
                <w:szCs w:val="30"/>
                <w:highlight w:val="none"/>
              </w:rPr>
              <w:t>E-mail</w:t>
            </w:r>
          </w:p>
        </w:tc>
        <w:tc>
          <w:tcPr>
            <w:tcW w:w="7296" w:type="dxa"/>
            <w:gridSpan w:val="3"/>
            <w:noWrap w:val="0"/>
            <w:vAlign w:val="center"/>
          </w:tcPr>
          <w:p w14:paraId="2DBB0B4F">
            <w:pPr>
              <w:jc w:val="left"/>
              <w:rPr>
                <w:rFonts w:ascii="宋体" w:hAnsi="宋体" w:cs="宋体"/>
                <w:color w:val="auto"/>
                <w:sz w:val="30"/>
                <w:szCs w:val="30"/>
                <w:highlight w:val="none"/>
              </w:rPr>
            </w:pPr>
          </w:p>
        </w:tc>
      </w:tr>
      <w:tr w14:paraId="0070A8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603" w:type="dxa"/>
            <w:noWrap w:val="0"/>
            <w:vAlign w:val="center"/>
          </w:tcPr>
          <w:p w14:paraId="18AFEB1A">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296" w:type="dxa"/>
            <w:gridSpan w:val="3"/>
            <w:noWrap w:val="0"/>
            <w:vAlign w:val="center"/>
          </w:tcPr>
          <w:p w14:paraId="10E8D054">
            <w:pPr>
              <w:jc w:val="left"/>
              <w:rPr>
                <w:rFonts w:ascii="宋体" w:hAnsi="宋体" w:cs="宋体"/>
                <w:color w:val="auto"/>
                <w:sz w:val="30"/>
                <w:szCs w:val="30"/>
                <w:highlight w:val="none"/>
              </w:rPr>
            </w:pPr>
          </w:p>
        </w:tc>
      </w:tr>
      <w:tr w14:paraId="3F18D3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8899" w:type="dxa"/>
            <w:gridSpan w:val="4"/>
            <w:noWrap w:val="0"/>
            <w:vAlign w:val="center"/>
          </w:tcPr>
          <w:p w14:paraId="4F5E5594">
            <w:pPr>
              <w:jc w:val="left"/>
              <w:rPr>
                <w:rFonts w:ascii="宋体" w:hAnsi="宋体" w:cs="宋体"/>
                <w:color w:val="auto"/>
                <w:sz w:val="30"/>
                <w:szCs w:val="30"/>
                <w:highlight w:val="none"/>
              </w:rPr>
            </w:pPr>
            <w:r>
              <w:rPr>
                <w:rFonts w:hint="eastAsia" w:ascii="宋体" w:hAnsi="宋体" w:cs="宋体"/>
                <w:color w:val="auto"/>
                <w:sz w:val="30"/>
                <w:szCs w:val="30"/>
                <w:highlight w:val="none"/>
              </w:rPr>
              <w:t xml:space="preserve">    日期：</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 xml:space="preserve"> 年</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 xml:space="preserve">日    </w:t>
            </w:r>
          </w:p>
        </w:tc>
      </w:tr>
    </w:tbl>
    <w:p w14:paraId="49658C53">
      <w:pPr>
        <w:spacing w:line="360" w:lineRule="auto"/>
        <w:ind w:firstLine="480" w:firstLineChars="200"/>
        <w:jc w:val="center"/>
        <w:outlineLvl w:val="0"/>
        <w:rPr>
          <w:rFonts w:hint="eastAsia" w:ascii="方正仿宋_GBK" w:hAnsi="宋体" w:eastAsia="方正仿宋_GBK"/>
          <w:color w:val="auto"/>
          <w:sz w:val="24"/>
          <w:szCs w:val="24"/>
        </w:rPr>
      </w:pPr>
    </w:p>
    <w:bookmarkEnd w:id="136"/>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49EB4">
    <w:pPr>
      <w:pStyle w:val="35"/>
      <w:framePr w:wrap="around" w:vAnchor="text" w:hAnchor="margin" w:xAlign="center" w:y="1"/>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- 2 -</w:t>
    </w:r>
    <w:r>
      <w:rPr>
        <w:rFonts w:ascii="宋体"/>
        <w:sz w:val="21"/>
        <w:szCs w:val="21"/>
      </w:rPr>
      <w:fldChar w:fldCharType="end"/>
    </w:r>
  </w:p>
  <w:p w14:paraId="08E605EC">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60DBD">
    <w:pPr>
      <w:pStyle w:val="35"/>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- 4 -</w:t>
    </w:r>
    <w:r>
      <w:rPr>
        <w:rFonts w:ascii="宋体" w:hAnsi="宋体"/>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8512">
    <w:pPr>
      <w:pStyle w:val="35"/>
      <w:framePr w:wrap="around" w:vAnchor="text" w:hAnchor="margin" w:xAlign="center" w:y="1"/>
      <w:rPr>
        <w:rStyle w:val="62"/>
      </w:rPr>
    </w:pPr>
    <w:r>
      <w:fldChar w:fldCharType="begin"/>
    </w:r>
    <w:r>
      <w:rPr>
        <w:rStyle w:val="62"/>
      </w:rPr>
      <w:instrText xml:space="preserve">PAGE  </w:instrText>
    </w:r>
    <w:r>
      <w:fldChar w:fldCharType="separate"/>
    </w:r>
    <w:r>
      <w:fldChar w:fldCharType="end"/>
    </w:r>
  </w:p>
  <w:p w14:paraId="6C1475B2">
    <w:pPr>
      <w:pStyle w:val="3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FCE8">
    <w:pPr>
      <w:pStyle w:val="35"/>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- 28 -</w:t>
    </w:r>
    <w:r>
      <w:rPr>
        <w:rFonts w:ascii="宋体" w:hAnsi="宋体"/>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6E9E">
    <w:pPr>
      <w:pStyle w:val="35"/>
      <w:framePr w:wrap="around" w:vAnchor="text" w:hAnchor="margin" w:xAlign="center" w:y="1"/>
      <w:rPr>
        <w:rStyle w:val="62"/>
      </w:rPr>
    </w:pPr>
    <w:r>
      <w:fldChar w:fldCharType="begin"/>
    </w:r>
    <w:r>
      <w:rPr>
        <w:rStyle w:val="62"/>
      </w:rPr>
      <w:instrText xml:space="preserve">PAGE  </w:instrText>
    </w:r>
    <w:r>
      <w:fldChar w:fldCharType="separate"/>
    </w:r>
    <w:r>
      <w:fldChar w:fldCharType="end"/>
    </w:r>
  </w:p>
  <w:p w14:paraId="0784CDE0">
    <w:pPr>
      <w:pStyle w:val="3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25709">
    <w:pPr>
      <w:pStyle w:val="35"/>
      <w:framePr w:wrap="around" w:vAnchor="text" w:hAnchor="margin" w:xAlign="center" w:y="1"/>
      <w:rPr>
        <w:rStyle w:val="62"/>
      </w:rPr>
    </w:pPr>
    <w:r>
      <w:fldChar w:fldCharType="begin"/>
    </w:r>
    <w:r>
      <w:rPr>
        <w:rStyle w:val="62"/>
      </w:rPr>
      <w:instrText xml:space="preserve">PAGE  </w:instrText>
    </w:r>
    <w:r>
      <w:fldChar w:fldCharType="separate"/>
    </w:r>
    <w:r>
      <w:fldChar w:fldCharType="end"/>
    </w:r>
  </w:p>
  <w:p w14:paraId="09839A9F">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787C4">
    <w:pPr>
      <w:pStyle w:val="35"/>
      <w:framePr w:wrap="around" w:vAnchor="text" w:hAnchor="margin" w:xAlign="center" w:y="1"/>
      <w:rPr>
        <w:rStyle w:val="62"/>
      </w:rPr>
    </w:pPr>
  </w:p>
  <w:p w14:paraId="54A107B4">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FFC1">
    <w:pPr>
      <w:pStyle w:val="35"/>
      <w:framePr w:wrap="around" w:vAnchor="text" w:hAnchor="margin" w:xAlign="center" w:y="1"/>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- 2 -</w:t>
    </w:r>
    <w:r>
      <w:rPr>
        <w:rFonts w:ascii="宋体"/>
        <w:sz w:val="21"/>
        <w:szCs w:val="21"/>
      </w:rPr>
      <w:fldChar w:fldCharType="end"/>
    </w:r>
  </w:p>
  <w:p w14:paraId="07CB62D1">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4CFBE">
    <w:pPr>
      <w:pStyle w:val="35"/>
      <w:framePr w:wrap="around" w:vAnchor="text" w:hAnchor="margin" w:xAlign="center" w:y="1"/>
      <w:rPr>
        <w:rStyle w:val="62"/>
      </w:rPr>
    </w:pPr>
    <w:r>
      <w:fldChar w:fldCharType="begin"/>
    </w:r>
    <w:r>
      <w:rPr>
        <w:rStyle w:val="62"/>
      </w:rPr>
      <w:instrText xml:space="preserve">PAGE  </w:instrText>
    </w:r>
    <w:r>
      <w:fldChar w:fldCharType="separate"/>
    </w:r>
    <w:r>
      <w:fldChar w:fldCharType="end"/>
    </w:r>
  </w:p>
  <w:p w14:paraId="7698191D">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16629">
    <w:pPr>
      <w:pStyle w:val="35"/>
      <w:framePr w:wrap="around" w:vAnchor="text" w:hAnchor="margin" w:xAlign="center" w:y="1"/>
      <w:rPr>
        <w:rStyle w:val="62"/>
      </w:rPr>
    </w:pPr>
  </w:p>
  <w:p w14:paraId="3F29418A">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564E1">
    <w:pPr>
      <w:pStyle w:val="35"/>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- 13 -</w:t>
    </w:r>
    <w:r>
      <w:rPr>
        <w:rFonts w:ascii="宋体" w:hAnsi="宋体"/>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B0DD6">
    <w:pPr>
      <w:pStyle w:val="35"/>
      <w:framePr w:wrap="around" w:vAnchor="text" w:hAnchor="margin" w:xAlign="center" w:y="1"/>
      <w:rPr>
        <w:rStyle w:val="62"/>
      </w:rPr>
    </w:pPr>
    <w:r>
      <w:fldChar w:fldCharType="begin"/>
    </w:r>
    <w:r>
      <w:rPr>
        <w:rStyle w:val="62"/>
      </w:rPr>
      <w:instrText xml:space="preserve">PAGE  </w:instrText>
    </w:r>
    <w:r>
      <w:fldChar w:fldCharType="separate"/>
    </w:r>
    <w:r>
      <w:fldChar w:fldCharType="end"/>
    </w:r>
  </w:p>
  <w:p w14:paraId="3C12AF11">
    <w:pPr>
      <w:pStyle w:val="3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187CD">
    <w:pPr>
      <w:pStyle w:val="35"/>
      <w:jc w:val="center"/>
      <w:rPr>
        <w:rFonts w:asci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2EFC71">
                          <w:pPr>
                            <w:pStyle w:val="3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742EFC71">
                    <w:pPr>
                      <w:pStyle w:val="35"/>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E5284">
    <w:pPr>
      <w:pStyle w:val="36"/>
      <w:jc w:val="both"/>
      <w:rPr>
        <w:rFonts w:hint="eastAsia"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4645E">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4F82D">
    <w:pPr>
      <w:pStyle w:val="3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828B">
    <w:pPr>
      <w:pStyle w:val="36"/>
      <w:jc w:val="both"/>
      <w:rPr>
        <w:rFonts w:hint="eastAsia" w:ascii="方正仿宋_GBK" w:eastAsia="方正仿宋_GBK"/>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B178">
    <w:pPr>
      <w:pStyle w:val="3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55FFE">
    <w:pPr>
      <w:pStyle w:val="3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A4D42">
    <w:pPr>
      <w:pStyle w:val="36"/>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0C19A">
    <w:pPr>
      <w:pStyle w:val="36"/>
      <w:jc w:val="both"/>
      <w:rPr>
        <w:rFonts w:hint="eastAsia"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2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4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71"/>
      <w:lvlText w:val=""/>
      <w:lvlJc w:val="left"/>
      <w:pPr>
        <w:tabs>
          <w:tab w:val="left" w:pos="360"/>
        </w:tabs>
        <w:ind w:left="360" w:hanging="360"/>
      </w:pPr>
      <w:rPr>
        <w:rFonts w:hint="default" w:ascii="Wingdings" w:hAnsi="Wingdings"/>
      </w:rPr>
    </w:lvl>
  </w:abstractNum>
  <w:abstractNum w:abstractNumId="3">
    <w:nsid w:val="0000000C"/>
    <w:multiLevelType w:val="multilevel"/>
    <w:tmpl w:val="0000000C"/>
    <w:lvl w:ilvl="0" w:tentative="0">
      <w:start w:val="1"/>
      <w:numFmt w:val="japaneseCounting"/>
      <w:lvlText w:val="%1、"/>
      <w:lvlJc w:val="left"/>
      <w:pPr>
        <w:tabs>
          <w:tab w:val="left" w:pos="390"/>
        </w:tabs>
        <w:ind w:left="390" w:hanging="390"/>
      </w:pPr>
    </w:lvl>
    <w:lvl w:ilvl="1" w:tentative="0">
      <w:start w:val="1"/>
      <w:numFmt w:val="decimal"/>
      <w:lvlText w:val="%2、"/>
      <w:lvlJc w:val="left"/>
      <w:pPr>
        <w:tabs>
          <w:tab w:val="left" w:pos="780"/>
        </w:tabs>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multilevel"/>
    <w:tmpl w:val="00000010"/>
    <w:lvl w:ilvl="0" w:tentative="0">
      <w:start w:val="1"/>
      <w:numFmt w:val="bullet"/>
      <w:pStyle w:val="14"/>
      <w:lvlText w:val=""/>
      <w:lvlJc w:val="left"/>
      <w:pPr>
        <w:tabs>
          <w:tab w:val="left" w:pos="1620"/>
        </w:tabs>
        <w:ind w:left="1620" w:hanging="360"/>
      </w:pPr>
      <w:rPr>
        <w:rFonts w:hint="default" w:ascii="Wingdings" w:hAnsi="Wingdings"/>
      </w:rPr>
    </w:lvl>
    <w:lvl w:ilvl="1" w:tentative="0">
      <w:start w:val="1"/>
      <w:numFmt w:val="decimal"/>
      <w:lvlText w:val="%2."/>
      <w:lvlJc w:val="left"/>
      <w:pPr>
        <w:tabs>
          <w:tab w:val="left" w:pos="1724"/>
        </w:tabs>
        <w:ind w:left="1724" w:hanging="360"/>
      </w:pPr>
    </w:lvl>
    <w:lvl w:ilvl="2" w:tentative="0">
      <w:start w:val="1"/>
      <w:numFmt w:val="decimal"/>
      <w:pStyle w:val="173"/>
      <w:lvlText w:val="%3."/>
      <w:lvlJc w:val="left"/>
      <w:pPr>
        <w:tabs>
          <w:tab w:val="left" w:pos="2444"/>
        </w:tabs>
        <w:ind w:left="2444" w:hanging="360"/>
      </w:pPr>
    </w:lvl>
    <w:lvl w:ilvl="3" w:tentative="0">
      <w:start w:val="1"/>
      <w:numFmt w:val="decimal"/>
      <w:lvlText w:val="%4."/>
      <w:lvlJc w:val="left"/>
      <w:pPr>
        <w:tabs>
          <w:tab w:val="left" w:pos="3164"/>
        </w:tabs>
        <w:ind w:left="3164" w:hanging="360"/>
      </w:pPr>
    </w:lvl>
    <w:lvl w:ilvl="4" w:tentative="0">
      <w:start w:val="1"/>
      <w:numFmt w:val="decimal"/>
      <w:lvlText w:val="%5."/>
      <w:lvlJc w:val="left"/>
      <w:pPr>
        <w:tabs>
          <w:tab w:val="left" w:pos="3884"/>
        </w:tabs>
        <w:ind w:left="3884" w:hanging="360"/>
      </w:pPr>
    </w:lvl>
    <w:lvl w:ilvl="5" w:tentative="0">
      <w:start w:val="1"/>
      <w:numFmt w:val="decimal"/>
      <w:lvlText w:val="%6."/>
      <w:lvlJc w:val="left"/>
      <w:pPr>
        <w:tabs>
          <w:tab w:val="left" w:pos="4604"/>
        </w:tabs>
        <w:ind w:left="4604" w:hanging="360"/>
      </w:pPr>
    </w:lvl>
    <w:lvl w:ilvl="6" w:tentative="0">
      <w:start w:val="1"/>
      <w:numFmt w:val="decimal"/>
      <w:lvlText w:val="%7."/>
      <w:lvlJc w:val="left"/>
      <w:pPr>
        <w:tabs>
          <w:tab w:val="left" w:pos="5324"/>
        </w:tabs>
        <w:ind w:left="5324" w:hanging="360"/>
      </w:pPr>
    </w:lvl>
    <w:lvl w:ilvl="7" w:tentative="0">
      <w:start w:val="1"/>
      <w:numFmt w:val="decimal"/>
      <w:lvlText w:val="%8."/>
      <w:lvlJc w:val="left"/>
      <w:pPr>
        <w:tabs>
          <w:tab w:val="left" w:pos="6044"/>
        </w:tabs>
        <w:ind w:left="6044" w:hanging="360"/>
      </w:pPr>
    </w:lvl>
    <w:lvl w:ilvl="8" w:tentative="0">
      <w:start w:val="1"/>
      <w:numFmt w:val="decimal"/>
      <w:lvlText w:val="%9."/>
      <w:lvlJc w:val="left"/>
      <w:pPr>
        <w:tabs>
          <w:tab w:val="left" w:pos="6764"/>
        </w:tabs>
        <w:ind w:left="6764" w:hanging="360"/>
      </w:pPr>
    </w:lvl>
  </w:abstractNum>
  <w:abstractNum w:abstractNumId="7">
    <w:nsid w:val="00000011"/>
    <w:multiLevelType w:val="multilevel"/>
    <w:tmpl w:val="00000011"/>
    <w:lvl w:ilvl="0" w:tentative="0">
      <w:start w:val="1"/>
      <w:numFmt w:val="decimal"/>
      <w:pStyle w:val="13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9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3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3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55C1708"/>
    <w:multiLevelType w:val="singleLevel"/>
    <w:tmpl w:val="555C1708"/>
    <w:lvl w:ilvl="0" w:tentative="0">
      <w:start w:val="3"/>
      <w:numFmt w:val="chineseCounting"/>
      <w:suff w:val="nothing"/>
      <w:lvlText w:val="%1、"/>
      <w:lvlJc w:val="left"/>
    </w:lvl>
  </w:abstractNum>
  <w:abstractNum w:abstractNumId="14">
    <w:nsid w:val="555C1783"/>
    <w:multiLevelType w:val="singleLevel"/>
    <w:tmpl w:val="555C1783"/>
    <w:lvl w:ilvl="0" w:tentative="0">
      <w:start w:val="6"/>
      <w:numFmt w:val="chineseCounting"/>
      <w:suff w:val="nothing"/>
      <w:lvlText w:val="%1、"/>
      <w:lvlJc w:val="left"/>
    </w:lvl>
  </w:abstractNum>
  <w:abstractNum w:abstractNumId="15">
    <w:nsid w:val="6BAFB687"/>
    <w:multiLevelType w:val="singleLevel"/>
    <w:tmpl w:val="6BAFB687"/>
    <w:lvl w:ilvl="0" w:tentative="0">
      <w:start w:val="4"/>
      <w:numFmt w:val="chineseCounting"/>
      <w:suff w:val="nothing"/>
      <w:lvlText w:val="%1、"/>
      <w:lvlJc w:val="left"/>
      <w:rPr>
        <w:rFonts w:hint="eastAsia"/>
      </w:rPr>
    </w:lvl>
  </w:abstractNum>
  <w:num w:numId="1">
    <w:abstractNumId w:val="9"/>
  </w:num>
  <w:num w:numId="2">
    <w:abstractNumId w:val="6"/>
  </w:num>
  <w:num w:numId="3">
    <w:abstractNumId w:val="4"/>
  </w:num>
  <w:num w:numId="4">
    <w:abstractNumId w:val="10"/>
  </w:num>
  <w:num w:numId="5">
    <w:abstractNumId w:val="0"/>
  </w:num>
  <w:num w:numId="6">
    <w:abstractNumId w:val="7"/>
  </w:num>
  <w:num w:numId="7">
    <w:abstractNumId w:val="12"/>
  </w:num>
  <w:num w:numId="8">
    <w:abstractNumId w:val="1"/>
  </w:num>
  <w:num w:numId="9">
    <w:abstractNumId w:val="2"/>
  </w:num>
  <w:num w:numId="10">
    <w:abstractNumId w:val="8"/>
  </w:num>
  <w:num w:numId="11">
    <w:abstractNumId w:val="5"/>
  </w:num>
  <w:num w:numId="12">
    <w:abstractNumId w:val="11"/>
  </w:num>
  <w:num w:numId="13">
    <w:abstractNumId w:val="15"/>
  </w:num>
  <w:num w:numId="14">
    <w:abstractNumId w:val="3"/>
    <w:lvlOverride w:ilvl="0">
      <w:startOverride w:val="1"/>
    </w:lvlOverride>
  </w:num>
  <w:num w:numId="15">
    <w:abstractNumId w:val="3"/>
    <w:lvlOverride w:ilvl="1">
      <w:startOverride w:val="1"/>
    </w:lvlOverride>
  </w:num>
  <w:num w:numId="16">
    <w:abstractNumId w:val="13"/>
  </w:num>
  <w:num w:numId="17">
    <w:abstractNumId w:val="14"/>
  </w:num>
  <w:num w:numId="1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YjE5ODFjZjU0M2JjYjQ0Y2ZhYmNjOTRhMmUwOTkifQ=="/>
  </w:docVars>
  <w:rsids>
    <w:rsidRoot w:val="4B160F0E"/>
    <w:rsid w:val="000014C5"/>
    <w:rsid w:val="00002AE4"/>
    <w:rsid w:val="00003626"/>
    <w:rsid w:val="000040DE"/>
    <w:rsid w:val="000070F0"/>
    <w:rsid w:val="000075E8"/>
    <w:rsid w:val="00011B4B"/>
    <w:rsid w:val="00016B79"/>
    <w:rsid w:val="00017816"/>
    <w:rsid w:val="00032ACA"/>
    <w:rsid w:val="0003632F"/>
    <w:rsid w:val="00043835"/>
    <w:rsid w:val="0004739C"/>
    <w:rsid w:val="00051E02"/>
    <w:rsid w:val="000523C9"/>
    <w:rsid w:val="0005298B"/>
    <w:rsid w:val="0005417C"/>
    <w:rsid w:val="000576E1"/>
    <w:rsid w:val="00061A7C"/>
    <w:rsid w:val="00063981"/>
    <w:rsid w:val="00074C38"/>
    <w:rsid w:val="000816AD"/>
    <w:rsid w:val="00082CC1"/>
    <w:rsid w:val="00090C5A"/>
    <w:rsid w:val="00091B1C"/>
    <w:rsid w:val="00091D22"/>
    <w:rsid w:val="000A164E"/>
    <w:rsid w:val="000A201E"/>
    <w:rsid w:val="000A3057"/>
    <w:rsid w:val="000B1068"/>
    <w:rsid w:val="000B3002"/>
    <w:rsid w:val="000B42F4"/>
    <w:rsid w:val="000B7377"/>
    <w:rsid w:val="000B7F54"/>
    <w:rsid w:val="000C08C1"/>
    <w:rsid w:val="000C1E0E"/>
    <w:rsid w:val="000C20E6"/>
    <w:rsid w:val="000C2C03"/>
    <w:rsid w:val="000C6D89"/>
    <w:rsid w:val="000D776F"/>
    <w:rsid w:val="000E01C9"/>
    <w:rsid w:val="000E0DD7"/>
    <w:rsid w:val="000E3259"/>
    <w:rsid w:val="000E4835"/>
    <w:rsid w:val="000E5AB0"/>
    <w:rsid w:val="000F302A"/>
    <w:rsid w:val="000F3D5B"/>
    <w:rsid w:val="000F64D7"/>
    <w:rsid w:val="000F7DBF"/>
    <w:rsid w:val="0010014A"/>
    <w:rsid w:val="00100639"/>
    <w:rsid w:val="0010088E"/>
    <w:rsid w:val="001028FD"/>
    <w:rsid w:val="00105638"/>
    <w:rsid w:val="0010716D"/>
    <w:rsid w:val="001140DC"/>
    <w:rsid w:val="00114CFE"/>
    <w:rsid w:val="00115337"/>
    <w:rsid w:val="001166B8"/>
    <w:rsid w:val="0011683E"/>
    <w:rsid w:val="00116856"/>
    <w:rsid w:val="00116C42"/>
    <w:rsid w:val="0011780F"/>
    <w:rsid w:val="00117B26"/>
    <w:rsid w:val="00120259"/>
    <w:rsid w:val="00122F9D"/>
    <w:rsid w:val="001264A8"/>
    <w:rsid w:val="001266BF"/>
    <w:rsid w:val="00133D16"/>
    <w:rsid w:val="00134037"/>
    <w:rsid w:val="001342AC"/>
    <w:rsid w:val="00135BAE"/>
    <w:rsid w:val="00145224"/>
    <w:rsid w:val="00146EC3"/>
    <w:rsid w:val="00147FB4"/>
    <w:rsid w:val="0015011C"/>
    <w:rsid w:val="00150204"/>
    <w:rsid w:val="0015033B"/>
    <w:rsid w:val="00150429"/>
    <w:rsid w:val="001523C5"/>
    <w:rsid w:val="00152B00"/>
    <w:rsid w:val="00152CAD"/>
    <w:rsid w:val="00153556"/>
    <w:rsid w:val="0016265A"/>
    <w:rsid w:val="00171E05"/>
    <w:rsid w:val="00171E3D"/>
    <w:rsid w:val="00180ACB"/>
    <w:rsid w:val="00181A6C"/>
    <w:rsid w:val="00183B60"/>
    <w:rsid w:val="00186623"/>
    <w:rsid w:val="001879FD"/>
    <w:rsid w:val="0019571D"/>
    <w:rsid w:val="001963A2"/>
    <w:rsid w:val="00196465"/>
    <w:rsid w:val="001A1B93"/>
    <w:rsid w:val="001A64A1"/>
    <w:rsid w:val="001A6DCC"/>
    <w:rsid w:val="001A773E"/>
    <w:rsid w:val="001B0396"/>
    <w:rsid w:val="001B1400"/>
    <w:rsid w:val="001B3DBD"/>
    <w:rsid w:val="001B4377"/>
    <w:rsid w:val="001D0DF7"/>
    <w:rsid w:val="001D1038"/>
    <w:rsid w:val="001D2321"/>
    <w:rsid w:val="001D2DCD"/>
    <w:rsid w:val="001D5055"/>
    <w:rsid w:val="001D630C"/>
    <w:rsid w:val="001E1467"/>
    <w:rsid w:val="001E1A2F"/>
    <w:rsid w:val="001E201B"/>
    <w:rsid w:val="001E5CAC"/>
    <w:rsid w:val="001E64A9"/>
    <w:rsid w:val="001E6841"/>
    <w:rsid w:val="001E725F"/>
    <w:rsid w:val="001F1AF5"/>
    <w:rsid w:val="001F1AF7"/>
    <w:rsid w:val="001F4964"/>
    <w:rsid w:val="001F4A96"/>
    <w:rsid w:val="001F7063"/>
    <w:rsid w:val="00202B04"/>
    <w:rsid w:val="00203052"/>
    <w:rsid w:val="00204469"/>
    <w:rsid w:val="00204936"/>
    <w:rsid w:val="002049D5"/>
    <w:rsid w:val="00206AE4"/>
    <w:rsid w:val="002100EE"/>
    <w:rsid w:val="00210168"/>
    <w:rsid w:val="00210ED7"/>
    <w:rsid w:val="00212A06"/>
    <w:rsid w:val="00214E7A"/>
    <w:rsid w:val="00215DEE"/>
    <w:rsid w:val="0021618E"/>
    <w:rsid w:val="0021704D"/>
    <w:rsid w:val="002216C7"/>
    <w:rsid w:val="00222097"/>
    <w:rsid w:val="002227DB"/>
    <w:rsid w:val="00227202"/>
    <w:rsid w:val="00227377"/>
    <w:rsid w:val="00227851"/>
    <w:rsid w:val="002339D3"/>
    <w:rsid w:val="00234257"/>
    <w:rsid w:val="002348E0"/>
    <w:rsid w:val="00245C08"/>
    <w:rsid w:val="00254CD4"/>
    <w:rsid w:val="00254E1A"/>
    <w:rsid w:val="00262555"/>
    <w:rsid w:val="002643C1"/>
    <w:rsid w:val="00265203"/>
    <w:rsid w:val="0026790A"/>
    <w:rsid w:val="00270223"/>
    <w:rsid w:val="0027199E"/>
    <w:rsid w:val="00271D47"/>
    <w:rsid w:val="002721EA"/>
    <w:rsid w:val="002752BA"/>
    <w:rsid w:val="00280E8A"/>
    <w:rsid w:val="00285164"/>
    <w:rsid w:val="002855B0"/>
    <w:rsid w:val="00286959"/>
    <w:rsid w:val="00295FA5"/>
    <w:rsid w:val="00297A6F"/>
    <w:rsid w:val="002A4956"/>
    <w:rsid w:val="002A6710"/>
    <w:rsid w:val="002A7778"/>
    <w:rsid w:val="002B1FDA"/>
    <w:rsid w:val="002B2ACF"/>
    <w:rsid w:val="002B578B"/>
    <w:rsid w:val="002B5ECC"/>
    <w:rsid w:val="002B7904"/>
    <w:rsid w:val="002C1859"/>
    <w:rsid w:val="002C2507"/>
    <w:rsid w:val="002C2E6E"/>
    <w:rsid w:val="002C3A3D"/>
    <w:rsid w:val="002C7927"/>
    <w:rsid w:val="002D0D19"/>
    <w:rsid w:val="002D41FF"/>
    <w:rsid w:val="002D608F"/>
    <w:rsid w:val="002D7053"/>
    <w:rsid w:val="002D7208"/>
    <w:rsid w:val="002D7725"/>
    <w:rsid w:val="002E0CC2"/>
    <w:rsid w:val="002E3527"/>
    <w:rsid w:val="002E3824"/>
    <w:rsid w:val="002E78F7"/>
    <w:rsid w:val="002F031F"/>
    <w:rsid w:val="002F0ED3"/>
    <w:rsid w:val="002F3278"/>
    <w:rsid w:val="002F3DE3"/>
    <w:rsid w:val="002F632E"/>
    <w:rsid w:val="003021BC"/>
    <w:rsid w:val="0030440F"/>
    <w:rsid w:val="00310AF9"/>
    <w:rsid w:val="00310DAA"/>
    <w:rsid w:val="0031465E"/>
    <w:rsid w:val="00315742"/>
    <w:rsid w:val="003163B3"/>
    <w:rsid w:val="003200C6"/>
    <w:rsid w:val="00322A7A"/>
    <w:rsid w:val="00326C5B"/>
    <w:rsid w:val="003336F0"/>
    <w:rsid w:val="0033663D"/>
    <w:rsid w:val="003366D9"/>
    <w:rsid w:val="00340777"/>
    <w:rsid w:val="00341D8A"/>
    <w:rsid w:val="00341DEB"/>
    <w:rsid w:val="00346A3D"/>
    <w:rsid w:val="00350510"/>
    <w:rsid w:val="00350C20"/>
    <w:rsid w:val="003548FA"/>
    <w:rsid w:val="00355643"/>
    <w:rsid w:val="00355A74"/>
    <w:rsid w:val="0035764D"/>
    <w:rsid w:val="00361427"/>
    <w:rsid w:val="00363702"/>
    <w:rsid w:val="0036458B"/>
    <w:rsid w:val="003703E8"/>
    <w:rsid w:val="00371D2F"/>
    <w:rsid w:val="00373122"/>
    <w:rsid w:val="0037612E"/>
    <w:rsid w:val="0038033A"/>
    <w:rsid w:val="003816ED"/>
    <w:rsid w:val="003840E9"/>
    <w:rsid w:val="00384161"/>
    <w:rsid w:val="00387610"/>
    <w:rsid w:val="0039432A"/>
    <w:rsid w:val="003953EA"/>
    <w:rsid w:val="00395C2F"/>
    <w:rsid w:val="003973D3"/>
    <w:rsid w:val="00397F89"/>
    <w:rsid w:val="003A0495"/>
    <w:rsid w:val="003A0892"/>
    <w:rsid w:val="003A3162"/>
    <w:rsid w:val="003A422B"/>
    <w:rsid w:val="003A449E"/>
    <w:rsid w:val="003A71F3"/>
    <w:rsid w:val="003B19F5"/>
    <w:rsid w:val="003D0E0A"/>
    <w:rsid w:val="003D3B22"/>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4D74"/>
    <w:rsid w:val="0042525A"/>
    <w:rsid w:val="0042733C"/>
    <w:rsid w:val="0044185A"/>
    <w:rsid w:val="0044193A"/>
    <w:rsid w:val="00453B8F"/>
    <w:rsid w:val="004556B7"/>
    <w:rsid w:val="00460489"/>
    <w:rsid w:val="004608C7"/>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64E4"/>
    <w:rsid w:val="004C6673"/>
    <w:rsid w:val="004C7A90"/>
    <w:rsid w:val="004D2334"/>
    <w:rsid w:val="004D433D"/>
    <w:rsid w:val="004D4410"/>
    <w:rsid w:val="004E156F"/>
    <w:rsid w:val="004E2F88"/>
    <w:rsid w:val="004E550E"/>
    <w:rsid w:val="004E55DB"/>
    <w:rsid w:val="004E67C6"/>
    <w:rsid w:val="004F5959"/>
    <w:rsid w:val="004F670C"/>
    <w:rsid w:val="00502B2F"/>
    <w:rsid w:val="00512D00"/>
    <w:rsid w:val="00512D44"/>
    <w:rsid w:val="00514179"/>
    <w:rsid w:val="00516243"/>
    <w:rsid w:val="005164D4"/>
    <w:rsid w:val="005406A0"/>
    <w:rsid w:val="00540E03"/>
    <w:rsid w:val="00541D5F"/>
    <w:rsid w:val="00544BEA"/>
    <w:rsid w:val="005460D5"/>
    <w:rsid w:val="00553CF0"/>
    <w:rsid w:val="00557C75"/>
    <w:rsid w:val="005641EB"/>
    <w:rsid w:val="00566A85"/>
    <w:rsid w:val="00570C78"/>
    <w:rsid w:val="00573AE3"/>
    <w:rsid w:val="00581EF9"/>
    <w:rsid w:val="00583690"/>
    <w:rsid w:val="005902D9"/>
    <w:rsid w:val="0059075F"/>
    <w:rsid w:val="00596AB7"/>
    <w:rsid w:val="005A1B5C"/>
    <w:rsid w:val="005A1EA7"/>
    <w:rsid w:val="005A479F"/>
    <w:rsid w:val="005A6A12"/>
    <w:rsid w:val="005B0724"/>
    <w:rsid w:val="005B1E46"/>
    <w:rsid w:val="005B5AA4"/>
    <w:rsid w:val="005C3F4B"/>
    <w:rsid w:val="005C42AC"/>
    <w:rsid w:val="005C4F84"/>
    <w:rsid w:val="005C588F"/>
    <w:rsid w:val="005D2EC6"/>
    <w:rsid w:val="005D37D0"/>
    <w:rsid w:val="005D41E8"/>
    <w:rsid w:val="005D703E"/>
    <w:rsid w:val="005E35E9"/>
    <w:rsid w:val="005E5525"/>
    <w:rsid w:val="005F38BB"/>
    <w:rsid w:val="005F7895"/>
    <w:rsid w:val="0060003E"/>
    <w:rsid w:val="00602BBE"/>
    <w:rsid w:val="0060315D"/>
    <w:rsid w:val="00613410"/>
    <w:rsid w:val="00617986"/>
    <w:rsid w:val="006256CA"/>
    <w:rsid w:val="00627729"/>
    <w:rsid w:val="00627F21"/>
    <w:rsid w:val="0063025A"/>
    <w:rsid w:val="0064583B"/>
    <w:rsid w:val="006468B8"/>
    <w:rsid w:val="00651127"/>
    <w:rsid w:val="0065190C"/>
    <w:rsid w:val="006542F1"/>
    <w:rsid w:val="00654A48"/>
    <w:rsid w:val="0065651B"/>
    <w:rsid w:val="00664607"/>
    <w:rsid w:val="00665941"/>
    <w:rsid w:val="0066755F"/>
    <w:rsid w:val="00670089"/>
    <w:rsid w:val="00670C89"/>
    <w:rsid w:val="00671233"/>
    <w:rsid w:val="00673763"/>
    <w:rsid w:val="006763DC"/>
    <w:rsid w:val="00680AE4"/>
    <w:rsid w:val="00682205"/>
    <w:rsid w:val="006822B0"/>
    <w:rsid w:val="00684E51"/>
    <w:rsid w:val="0068793C"/>
    <w:rsid w:val="00694288"/>
    <w:rsid w:val="00694F91"/>
    <w:rsid w:val="006A100B"/>
    <w:rsid w:val="006A143A"/>
    <w:rsid w:val="006A3285"/>
    <w:rsid w:val="006A4C56"/>
    <w:rsid w:val="006B0567"/>
    <w:rsid w:val="006B4535"/>
    <w:rsid w:val="006B72DE"/>
    <w:rsid w:val="006B75CB"/>
    <w:rsid w:val="006C2079"/>
    <w:rsid w:val="006C5FC1"/>
    <w:rsid w:val="006D44E1"/>
    <w:rsid w:val="006D51DC"/>
    <w:rsid w:val="006D5BB8"/>
    <w:rsid w:val="006D6350"/>
    <w:rsid w:val="006D6662"/>
    <w:rsid w:val="006E21FA"/>
    <w:rsid w:val="006E477D"/>
    <w:rsid w:val="006E6D5F"/>
    <w:rsid w:val="006F0FB7"/>
    <w:rsid w:val="006F5925"/>
    <w:rsid w:val="006F5E40"/>
    <w:rsid w:val="006F6E4A"/>
    <w:rsid w:val="00704E5D"/>
    <w:rsid w:val="00705739"/>
    <w:rsid w:val="007073D6"/>
    <w:rsid w:val="00710AE5"/>
    <w:rsid w:val="00712E83"/>
    <w:rsid w:val="00712FF5"/>
    <w:rsid w:val="0071464D"/>
    <w:rsid w:val="00714BF1"/>
    <w:rsid w:val="00715327"/>
    <w:rsid w:val="00715FB5"/>
    <w:rsid w:val="00716C50"/>
    <w:rsid w:val="007171A6"/>
    <w:rsid w:val="0071799D"/>
    <w:rsid w:val="00726088"/>
    <w:rsid w:val="00730B6A"/>
    <w:rsid w:val="00731B91"/>
    <w:rsid w:val="00736D88"/>
    <w:rsid w:val="00736DD2"/>
    <w:rsid w:val="00736EE0"/>
    <w:rsid w:val="0074681C"/>
    <w:rsid w:val="00746EC2"/>
    <w:rsid w:val="007504DE"/>
    <w:rsid w:val="00762B70"/>
    <w:rsid w:val="007636FE"/>
    <w:rsid w:val="0077408E"/>
    <w:rsid w:val="00776989"/>
    <w:rsid w:val="00780577"/>
    <w:rsid w:val="00781AD3"/>
    <w:rsid w:val="00781BFB"/>
    <w:rsid w:val="00786FA7"/>
    <w:rsid w:val="0079177C"/>
    <w:rsid w:val="00794382"/>
    <w:rsid w:val="007959AC"/>
    <w:rsid w:val="00796323"/>
    <w:rsid w:val="007A20E0"/>
    <w:rsid w:val="007A60FA"/>
    <w:rsid w:val="007B2204"/>
    <w:rsid w:val="007B4B60"/>
    <w:rsid w:val="007B7278"/>
    <w:rsid w:val="007C1691"/>
    <w:rsid w:val="007C6B0F"/>
    <w:rsid w:val="007D0625"/>
    <w:rsid w:val="007D7A44"/>
    <w:rsid w:val="007D7E65"/>
    <w:rsid w:val="007E19E0"/>
    <w:rsid w:val="007E517D"/>
    <w:rsid w:val="007F6769"/>
    <w:rsid w:val="008041D4"/>
    <w:rsid w:val="00806938"/>
    <w:rsid w:val="00807818"/>
    <w:rsid w:val="0081156A"/>
    <w:rsid w:val="00827398"/>
    <w:rsid w:val="008275B6"/>
    <w:rsid w:val="0083653E"/>
    <w:rsid w:val="008369DC"/>
    <w:rsid w:val="00837546"/>
    <w:rsid w:val="00842974"/>
    <w:rsid w:val="00842F87"/>
    <w:rsid w:val="00843A88"/>
    <w:rsid w:val="00843D2E"/>
    <w:rsid w:val="0085550A"/>
    <w:rsid w:val="008616EF"/>
    <w:rsid w:val="00863C25"/>
    <w:rsid w:val="008641B7"/>
    <w:rsid w:val="00864D80"/>
    <w:rsid w:val="00864DC1"/>
    <w:rsid w:val="00870530"/>
    <w:rsid w:val="008705BC"/>
    <w:rsid w:val="00871999"/>
    <w:rsid w:val="00872E27"/>
    <w:rsid w:val="00875A42"/>
    <w:rsid w:val="0088192C"/>
    <w:rsid w:val="008904A8"/>
    <w:rsid w:val="00891D94"/>
    <w:rsid w:val="00896589"/>
    <w:rsid w:val="00896EF5"/>
    <w:rsid w:val="008A0CEE"/>
    <w:rsid w:val="008A19AF"/>
    <w:rsid w:val="008A20FB"/>
    <w:rsid w:val="008A4D88"/>
    <w:rsid w:val="008C1B22"/>
    <w:rsid w:val="008C4C84"/>
    <w:rsid w:val="008C510F"/>
    <w:rsid w:val="008D067F"/>
    <w:rsid w:val="008D3283"/>
    <w:rsid w:val="008D56F3"/>
    <w:rsid w:val="008D5BBB"/>
    <w:rsid w:val="008E437B"/>
    <w:rsid w:val="008E4D3F"/>
    <w:rsid w:val="008E66B8"/>
    <w:rsid w:val="008F0A2E"/>
    <w:rsid w:val="008F1988"/>
    <w:rsid w:val="008F2B05"/>
    <w:rsid w:val="008F5E76"/>
    <w:rsid w:val="008F6252"/>
    <w:rsid w:val="008F76DB"/>
    <w:rsid w:val="009023F3"/>
    <w:rsid w:val="0090383C"/>
    <w:rsid w:val="00905D85"/>
    <w:rsid w:val="00912132"/>
    <w:rsid w:val="0091346B"/>
    <w:rsid w:val="00913CAA"/>
    <w:rsid w:val="009226D2"/>
    <w:rsid w:val="00922FAD"/>
    <w:rsid w:val="00924F0A"/>
    <w:rsid w:val="00925082"/>
    <w:rsid w:val="00925726"/>
    <w:rsid w:val="00926904"/>
    <w:rsid w:val="0092708B"/>
    <w:rsid w:val="0093049D"/>
    <w:rsid w:val="00936A01"/>
    <w:rsid w:val="00937713"/>
    <w:rsid w:val="009404E7"/>
    <w:rsid w:val="009409CD"/>
    <w:rsid w:val="0094759E"/>
    <w:rsid w:val="00952C13"/>
    <w:rsid w:val="0095455D"/>
    <w:rsid w:val="00954CF7"/>
    <w:rsid w:val="00962BF1"/>
    <w:rsid w:val="00963237"/>
    <w:rsid w:val="00966820"/>
    <w:rsid w:val="00971E57"/>
    <w:rsid w:val="009723CF"/>
    <w:rsid w:val="00972F46"/>
    <w:rsid w:val="00973D3A"/>
    <w:rsid w:val="009741DC"/>
    <w:rsid w:val="0097652A"/>
    <w:rsid w:val="00980037"/>
    <w:rsid w:val="00983B43"/>
    <w:rsid w:val="00984742"/>
    <w:rsid w:val="0099161D"/>
    <w:rsid w:val="00991B37"/>
    <w:rsid w:val="00997855"/>
    <w:rsid w:val="009B6208"/>
    <w:rsid w:val="009B71FF"/>
    <w:rsid w:val="009C3034"/>
    <w:rsid w:val="009C4BFF"/>
    <w:rsid w:val="009C7522"/>
    <w:rsid w:val="009D0FDD"/>
    <w:rsid w:val="009D3162"/>
    <w:rsid w:val="009D3181"/>
    <w:rsid w:val="009D7B9B"/>
    <w:rsid w:val="009E067B"/>
    <w:rsid w:val="009E717E"/>
    <w:rsid w:val="009E737D"/>
    <w:rsid w:val="009F18FA"/>
    <w:rsid w:val="00A0197B"/>
    <w:rsid w:val="00A02768"/>
    <w:rsid w:val="00A03977"/>
    <w:rsid w:val="00A06013"/>
    <w:rsid w:val="00A104A7"/>
    <w:rsid w:val="00A12904"/>
    <w:rsid w:val="00A15FBF"/>
    <w:rsid w:val="00A1616D"/>
    <w:rsid w:val="00A1783B"/>
    <w:rsid w:val="00A224AC"/>
    <w:rsid w:val="00A26FF7"/>
    <w:rsid w:val="00A27159"/>
    <w:rsid w:val="00A33FF0"/>
    <w:rsid w:val="00A37A20"/>
    <w:rsid w:val="00A445DC"/>
    <w:rsid w:val="00A44BEA"/>
    <w:rsid w:val="00A47C22"/>
    <w:rsid w:val="00A50E79"/>
    <w:rsid w:val="00A55B14"/>
    <w:rsid w:val="00A5689C"/>
    <w:rsid w:val="00A569E8"/>
    <w:rsid w:val="00A57FAF"/>
    <w:rsid w:val="00A601C4"/>
    <w:rsid w:val="00A61D6E"/>
    <w:rsid w:val="00A70193"/>
    <w:rsid w:val="00A711C6"/>
    <w:rsid w:val="00A730F3"/>
    <w:rsid w:val="00A74B68"/>
    <w:rsid w:val="00A77EE1"/>
    <w:rsid w:val="00A84863"/>
    <w:rsid w:val="00A91750"/>
    <w:rsid w:val="00A95D95"/>
    <w:rsid w:val="00A977EC"/>
    <w:rsid w:val="00AA3FD1"/>
    <w:rsid w:val="00AA4543"/>
    <w:rsid w:val="00AA52DE"/>
    <w:rsid w:val="00AB11B3"/>
    <w:rsid w:val="00AB1DAF"/>
    <w:rsid w:val="00AB40EF"/>
    <w:rsid w:val="00AB43D9"/>
    <w:rsid w:val="00AB5ED3"/>
    <w:rsid w:val="00AB6B0C"/>
    <w:rsid w:val="00AB70CD"/>
    <w:rsid w:val="00AB7800"/>
    <w:rsid w:val="00AC1860"/>
    <w:rsid w:val="00AC4898"/>
    <w:rsid w:val="00AC48B3"/>
    <w:rsid w:val="00AC7893"/>
    <w:rsid w:val="00AC7AC9"/>
    <w:rsid w:val="00AD0B4D"/>
    <w:rsid w:val="00AD1C54"/>
    <w:rsid w:val="00AE1920"/>
    <w:rsid w:val="00AE76F8"/>
    <w:rsid w:val="00AF01B3"/>
    <w:rsid w:val="00AF0F13"/>
    <w:rsid w:val="00AF6887"/>
    <w:rsid w:val="00AF7992"/>
    <w:rsid w:val="00AF7CDD"/>
    <w:rsid w:val="00B00AB3"/>
    <w:rsid w:val="00B14C52"/>
    <w:rsid w:val="00B200AA"/>
    <w:rsid w:val="00B203A9"/>
    <w:rsid w:val="00B229A5"/>
    <w:rsid w:val="00B23F48"/>
    <w:rsid w:val="00B2488E"/>
    <w:rsid w:val="00B25EB3"/>
    <w:rsid w:val="00B42056"/>
    <w:rsid w:val="00B478C3"/>
    <w:rsid w:val="00B52715"/>
    <w:rsid w:val="00B52D2A"/>
    <w:rsid w:val="00B61348"/>
    <w:rsid w:val="00B6263F"/>
    <w:rsid w:val="00B67114"/>
    <w:rsid w:val="00B678C7"/>
    <w:rsid w:val="00B70368"/>
    <w:rsid w:val="00B7097C"/>
    <w:rsid w:val="00B72BCC"/>
    <w:rsid w:val="00B75449"/>
    <w:rsid w:val="00B81284"/>
    <w:rsid w:val="00B835F1"/>
    <w:rsid w:val="00B86DA1"/>
    <w:rsid w:val="00B87401"/>
    <w:rsid w:val="00B96B1E"/>
    <w:rsid w:val="00BA1937"/>
    <w:rsid w:val="00BA527C"/>
    <w:rsid w:val="00BA5B9C"/>
    <w:rsid w:val="00BA7D51"/>
    <w:rsid w:val="00BA7F31"/>
    <w:rsid w:val="00BB4AD5"/>
    <w:rsid w:val="00BB7494"/>
    <w:rsid w:val="00BB76A5"/>
    <w:rsid w:val="00BC089B"/>
    <w:rsid w:val="00BC183F"/>
    <w:rsid w:val="00BC1C37"/>
    <w:rsid w:val="00BC2390"/>
    <w:rsid w:val="00BC775D"/>
    <w:rsid w:val="00BD0051"/>
    <w:rsid w:val="00BD2939"/>
    <w:rsid w:val="00BD5A75"/>
    <w:rsid w:val="00BD6BF7"/>
    <w:rsid w:val="00BE07A9"/>
    <w:rsid w:val="00BE1700"/>
    <w:rsid w:val="00BE2E36"/>
    <w:rsid w:val="00BE4D8F"/>
    <w:rsid w:val="00BF0A3E"/>
    <w:rsid w:val="00BF26AC"/>
    <w:rsid w:val="00BF46A7"/>
    <w:rsid w:val="00BF5230"/>
    <w:rsid w:val="00BF551A"/>
    <w:rsid w:val="00BF6DA8"/>
    <w:rsid w:val="00C00289"/>
    <w:rsid w:val="00C1090C"/>
    <w:rsid w:val="00C201FC"/>
    <w:rsid w:val="00C240C8"/>
    <w:rsid w:val="00C249AF"/>
    <w:rsid w:val="00C26513"/>
    <w:rsid w:val="00C328C9"/>
    <w:rsid w:val="00C339ED"/>
    <w:rsid w:val="00C3416C"/>
    <w:rsid w:val="00C35BA8"/>
    <w:rsid w:val="00C37F72"/>
    <w:rsid w:val="00C40246"/>
    <w:rsid w:val="00C420C1"/>
    <w:rsid w:val="00C43FEE"/>
    <w:rsid w:val="00C45963"/>
    <w:rsid w:val="00C472B8"/>
    <w:rsid w:val="00C50723"/>
    <w:rsid w:val="00C529FD"/>
    <w:rsid w:val="00C53124"/>
    <w:rsid w:val="00C538A9"/>
    <w:rsid w:val="00C53B2E"/>
    <w:rsid w:val="00C6160A"/>
    <w:rsid w:val="00C62B51"/>
    <w:rsid w:val="00C65711"/>
    <w:rsid w:val="00C66460"/>
    <w:rsid w:val="00C76ECD"/>
    <w:rsid w:val="00C8221C"/>
    <w:rsid w:val="00C84B63"/>
    <w:rsid w:val="00C84E04"/>
    <w:rsid w:val="00C86DC6"/>
    <w:rsid w:val="00C910BE"/>
    <w:rsid w:val="00C922BE"/>
    <w:rsid w:val="00CA10F9"/>
    <w:rsid w:val="00CA14F4"/>
    <w:rsid w:val="00CA583F"/>
    <w:rsid w:val="00CA5844"/>
    <w:rsid w:val="00CA7415"/>
    <w:rsid w:val="00CB265C"/>
    <w:rsid w:val="00CB2BDD"/>
    <w:rsid w:val="00CB32BC"/>
    <w:rsid w:val="00CB4540"/>
    <w:rsid w:val="00CB4951"/>
    <w:rsid w:val="00CB7A07"/>
    <w:rsid w:val="00CC59BB"/>
    <w:rsid w:val="00CD1B93"/>
    <w:rsid w:val="00CD3BD4"/>
    <w:rsid w:val="00CD3CC8"/>
    <w:rsid w:val="00CD4915"/>
    <w:rsid w:val="00CD60BD"/>
    <w:rsid w:val="00CD635D"/>
    <w:rsid w:val="00CD6DEE"/>
    <w:rsid w:val="00CD7C5B"/>
    <w:rsid w:val="00CD7CED"/>
    <w:rsid w:val="00CE04C7"/>
    <w:rsid w:val="00CE2AC9"/>
    <w:rsid w:val="00CE2AFE"/>
    <w:rsid w:val="00CE7B14"/>
    <w:rsid w:val="00CF156B"/>
    <w:rsid w:val="00CF1E02"/>
    <w:rsid w:val="00CF4BD6"/>
    <w:rsid w:val="00CF597A"/>
    <w:rsid w:val="00D00228"/>
    <w:rsid w:val="00D00DA0"/>
    <w:rsid w:val="00D0103F"/>
    <w:rsid w:val="00D03E34"/>
    <w:rsid w:val="00D05BAA"/>
    <w:rsid w:val="00D07F26"/>
    <w:rsid w:val="00D11A09"/>
    <w:rsid w:val="00D11BCD"/>
    <w:rsid w:val="00D13B7A"/>
    <w:rsid w:val="00D17FD1"/>
    <w:rsid w:val="00D22C4B"/>
    <w:rsid w:val="00D230C7"/>
    <w:rsid w:val="00D23583"/>
    <w:rsid w:val="00D23E7D"/>
    <w:rsid w:val="00D2405F"/>
    <w:rsid w:val="00D26C71"/>
    <w:rsid w:val="00D30C7F"/>
    <w:rsid w:val="00D32DFB"/>
    <w:rsid w:val="00D41421"/>
    <w:rsid w:val="00D41998"/>
    <w:rsid w:val="00D41BA9"/>
    <w:rsid w:val="00D44059"/>
    <w:rsid w:val="00D4511A"/>
    <w:rsid w:val="00D51813"/>
    <w:rsid w:val="00D52376"/>
    <w:rsid w:val="00D53EE6"/>
    <w:rsid w:val="00D612C2"/>
    <w:rsid w:val="00D64D38"/>
    <w:rsid w:val="00D745E0"/>
    <w:rsid w:val="00D76AA3"/>
    <w:rsid w:val="00D80604"/>
    <w:rsid w:val="00D86529"/>
    <w:rsid w:val="00D86A86"/>
    <w:rsid w:val="00D8791E"/>
    <w:rsid w:val="00D92438"/>
    <w:rsid w:val="00DA0040"/>
    <w:rsid w:val="00DA03F8"/>
    <w:rsid w:val="00DA086B"/>
    <w:rsid w:val="00DA1D7A"/>
    <w:rsid w:val="00DA5DD7"/>
    <w:rsid w:val="00DA5E0A"/>
    <w:rsid w:val="00DA6834"/>
    <w:rsid w:val="00DA7145"/>
    <w:rsid w:val="00DA78D8"/>
    <w:rsid w:val="00DA7E05"/>
    <w:rsid w:val="00DB012E"/>
    <w:rsid w:val="00DB4794"/>
    <w:rsid w:val="00DB5C3E"/>
    <w:rsid w:val="00DB628E"/>
    <w:rsid w:val="00DC4070"/>
    <w:rsid w:val="00DE1DE6"/>
    <w:rsid w:val="00DE1E39"/>
    <w:rsid w:val="00DE513D"/>
    <w:rsid w:val="00DF235C"/>
    <w:rsid w:val="00DF426D"/>
    <w:rsid w:val="00DF47D6"/>
    <w:rsid w:val="00DF4D5A"/>
    <w:rsid w:val="00DF5425"/>
    <w:rsid w:val="00DF782C"/>
    <w:rsid w:val="00E030A0"/>
    <w:rsid w:val="00E04F16"/>
    <w:rsid w:val="00E075A1"/>
    <w:rsid w:val="00E0797A"/>
    <w:rsid w:val="00E11D5D"/>
    <w:rsid w:val="00E124E3"/>
    <w:rsid w:val="00E12F81"/>
    <w:rsid w:val="00E14812"/>
    <w:rsid w:val="00E15231"/>
    <w:rsid w:val="00E15DDE"/>
    <w:rsid w:val="00E17B19"/>
    <w:rsid w:val="00E2339E"/>
    <w:rsid w:val="00E26F65"/>
    <w:rsid w:val="00E300BB"/>
    <w:rsid w:val="00E31D0A"/>
    <w:rsid w:val="00E3245B"/>
    <w:rsid w:val="00E32DCD"/>
    <w:rsid w:val="00E32DF0"/>
    <w:rsid w:val="00E3707B"/>
    <w:rsid w:val="00E50685"/>
    <w:rsid w:val="00E57F6B"/>
    <w:rsid w:val="00E609CE"/>
    <w:rsid w:val="00E6234F"/>
    <w:rsid w:val="00E67AC7"/>
    <w:rsid w:val="00E7134F"/>
    <w:rsid w:val="00E7342C"/>
    <w:rsid w:val="00E736E9"/>
    <w:rsid w:val="00E76363"/>
    <w:rsid w:val="00E80AFB"/>
    <w:rsid w:val="00E90BE3"/>
    <w:rsid w:val="00E91374"/>
    <w:rsid w:val="00E91D81"/>
    <w:rsid w:val="00E92BC2"/>
    <w:rsid w:val="00EA010E"/>
    <w:rsid w:val="00EA28AB"/>
    <w:rsid w:val="00EA6FBF"/>
    <w:rsid w:val="00EB1E33"/>
    <w:rsid w:val="00EB4DA6"/>
    <w:rsid w:val="00EB7B0A"/>
    <w:rsid w:val="00EC0881"/>
    <w:rsid w:val="00EC74F9"/>
    <w:rsid w:val="00ED13DE"/>
    <w:rsid w:val="00ED1996"/>
    <w:rsid w:val="00ED2843"/>
    <w:rsid w:val="00ED2F55"/>
    <w:rsid w:val="00ED5ED8"/>
    <w:rsid w:val="00EE0C95"/>
    <w:rsid w:val="00EE3F0F"/>
    <w:rsid w:val="00EF0199"/>
    <w:rsid w:val="00F0263C"/>
    <w:rsid w:val="00F0402A"/>
    <w:rsid w:val="00F07266"/>
    <w:rsid w:val="00F16313"/>
    <w:rsid w:val="00F1700E"/>
    <w:rsid w:val="00F20820"/>
    <w:rsid w:val="00F20FF1"/>
    <w:rsid w:val="00F24317"/>
    <w:rsid w:val="00F27AC7"/>
    <w:rsid w:val="00F32641"/>
    <w:rsid w:val="00F34974"/>
    <w:rsid w:val="00F35457"/>
    <w:rsid w:val="00F3595B"/>
    <w:rsid w:val="00F367F3"/>
    <w:rsid w:val="00F36A26"/>
    <w:rsid w:val="00F41F54"/>
    <w:rsid w:val="00F426A6"/>
    <w:rsid w:val="00F429FD"/>
    <w:rsid w:val="00F4623C"/>
    <w:rsid w:val="00F46AD7"/>
    <w:rsid w:val="00F56399"/>
    <w:rsid w:val="00F606BB"/>
    <w:rsid w:val="00F70113"/>
    <w:rsid w:val="00F746E3"/>
    <w:rsid w:val="00F76C17"/>
    <w:rsid w:val="00F7709C"/>
    <w:rsid w:val="00F7750A"/>
    <w:rsid w:val="00F80006"/>
    <w:rsid w:val="00F80084"/>
    <w:rsid w:val="00F95676"/>
    <w:rsid w:val="00F96401"/>
    <w:rsid w:val="00F9690B"/>
    <w:rsid w:val="00FA3F8B"/>
    <w:rsid w:val="00FA56FF"/>
    <w:rsid w:val="00FA767D"/>
    <w:rsid w:val="00FB693B"/>
    <w:rsid w:val="00FC3C96"/>
    <w:rsid w:val="00FD2470"/>
    <w:rsid w:val="00FD5823"/>
    <w:rsid w:val="00FD7BE0"/>
    <w:rsid w:val="00FE1C27"/>
    <w:rsid w:val="00FE326F"/>
    <w:rsid w:val="00FE5C31"/>
    <w:rsid w:val="00FF0F20"/>
    <w:rsid w:val="00FF1B0E"/>
    <w:rsid w:val="00FF268A"/>
    <w:rsid w:val="00FF748B"/>
    <w:rsid w:val="147A5E14"/>
    <w:rsid w:val="17A1211B"/>
    <w:rsid w:val="18791365"/>
    <w:rsid w:val="18ED7A84"/>
    <w:rsid w:val="1C3B5CE8"/>
    <w:rsid w:val="21864056"/>
    <w:rsid w:val="2217305E"/>
    <w:rsid w:val="22D13EAF"/>
    <w:rsid w:val="23977F25"/>
    <w:rsid w:val="2AA01F44"/>
    <w:rsid w:val="3A5054DE"/>
    <w:rsid w:val="406334F2"/>
    <w:rsid w:val="452C7897"/>
    <w:rsid w:val="497B7CB3"/>
    <w:rsid w:val="4A914445"/>
    <w:rsid w:val="4B160F0E"/>
    <w:rsid w:val="4B2D12E0"/>
    <w:rsid w:val="4BEB6B31"/>
    <w:rsid w:val="4DD36371"/>
    <w:rsid w:val="52D92ACB"/>
    <w:rsid w:val="53B4776F"/>
    <w:rsid w:val="54C82BAB"/>
    <w:rsid w:val="59AB7D23"/>
    <w:rsid w:val="5AE87C89"/>
    <w:rsid w:val="5CA67F0E"/>
    <w:rsid w:val="5E224037"/>
    <w:rsid w:val="6B5E3BF4"/>
    <w:rsid w:val="6BEF01CC"/>
    <w:rsid w:val="6FE969BF"/>
    <w:rsid w:val="731C5293"/>
    <w:rsid w:val="74D70DF7"/>
    <w:rsid w:val="789F3DA6"/>
    <w:rsid w:val="78A52377"/>
    <w:rsid w:val="7B5B7497"/>
    <w:rsid w:val="7BE169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autoRedefine/>
    <w:qFormat/>
    <w:uiPriority w:val="0"/>
    <w:pPr>
      <w:keepNext/>
      <w:snapToGrid w:val="0"/>
      <w:spacing w:line="360" w:lineRule="atLeast"/>
      <w:outlineLvl w:val="0"/>
    </w:pPr>
    <w:rPr>
      <w:rFonts w:ascii="宋体"/>
    </w:rPr>
  </w:style>
  <w:style w:type="paragraph" w:styleId="3">
    <w:name w:val="heading 2"/>
    <w:basedOn w:val="1"/>
    <w:next w:val="1"/>
    <w:link w:val="69"/>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70"/>
    <w:autoRedefine/>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0">
    <w:name w:val="Default Paragraph Font"/>
    <w:autoRedefine/>
    <w:qFormat/>
    <w:uiPriority w:val="0"/>
  </w:style>
  <w:style w:type="table" w:default="1" w:styleId="58">
    <w:name w:val="Normal Table"/>
    <w:autoRedefine/>
    <w:semiHidden/>
    <w:qFormat/>
    <w:uiPriority w:val="0"/>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numPr>
        <w:ilvl w:val="0"/>
        <w:numId w:val="1"/>
      </w:numPr>
      <w:tabs>
        <w:tab w:val="left" w:pos="780"/>
        <w:tab w:val="clear" w:pos="425"/>
      </w:tabs>
      <w:spacing w:line="360" w:lineRule="auto"/>
    </w:pPr>
    <w:rPr>
      <w:sz w:val="24"/>
    </w:rPr>
  </w:style>
  <w:style w:type="paragraph" w:styleId="14">
    <w:name w:val="List Bullet 4"/>
    <w:basedOn w:val="1"/>
    <w:autoRedefine/>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autoRedefine/>
    <w:qFormat/>
    <w:uiPriority w:val="0"/>
    <w:pPr>
      <w:shd w:val="clear" w:color="auto" w:fill="000080"/>
    </w:pPr>
  </w:style>
  <w:style w:type="paragraph" w:styleId="18">
    <w:name w:val="toa heading"/>
    <w:basedOn w:val="1"/>
    <w:next w:val="1"/>
    <w:autoRedefine/>
    <w:qFormat/>
    <w:uiPriority w:val="0"/>
    <w:pPr>
      <w:spacing w:before="120" w:beforeLines="0"/>
    </w:pPr>
    <w:rPr>
      <w:rFonts w:ascii="Arial" w:hAnsi="Arial"/>
      <w:sz w:val="24"/>
    </w:rPr>
  </w:style>
  <w:style w:type="paragraph" w:styleId="19">
    <w:name w:val="annotation text"/>
    <w:basedOn w:val="1"/>
    <w:link w:val="71"/>
    <w:autoRedefine/>
    <w:qFormat/>
    <w:uiPriority w:val="0"/>
    <w:pPr>
      <w:adjustRightInd w:val="0"/>
      <w:spacing w:line="360" w:lineRule="atLeast"/>
      <w:jc w:val="left"/>
      <w:textAlignment w:val="baseline"/>
    </w:pPr>
    <w:rPr>
      <w:kern w:val="0"/>
      <w:sz w:val="24"/>
    </w:rPr>
  </w:style>
  <w:style w:type="paragraph" w:styleId="20">
    <w:name w:val="Body Text 3"/>
    <w:basedOn w:val="1"/>
    <w:autoRedefine/>
    <w:qFormat/>
    <w:uiPriority w:val="0"/>
    <w:pPr>
      <w:adjustRightInd w:val="0"/>
      <w:snapToGrid w:val="0"/>
      <w:spacing w:after="120" w:afterLines="0" w:afterAutospacing="0" w:line="360" w:lineRule="auto"/>
    </w:pPr>
    <w:rPr>
      <w:sz w:val="16"/>
    </w:rPr>
  </w:style>
  <w:style w:type="paragraph" w:styleId="21">
    <w:name w:val="List Bullet 3"/>
    <w:basedOn w:val="1"/>
    <w:autoRedefine/>
    <w:qFormat/>
    <w:uiPriority w:val="0"/>
    <w:pPr>
      <w:numPr>
        <w:ilvl w:val="0"/>
        <w:numId w:val="3"/>
      </w:numPr>
      <w:adjustRightInd w:val="0"/>
      <w:snapToGrid w:val="0"/>
      <w:spacing w:line="360" w:lineRule="auto"/>
    </w:pPr>
    <w:rPr>
      <w:sz w:val="24"/>
    </w:rPr>
  </w:style>
  <w:style w:type="paragraph" w:styleId="22">
    <w:name w:val="Body Text"/>
    <w:basedOn w:val="1"/>
    <w:next w:val="1"/>
    <w:autoRedefine/>
    <w:qFormat/>
    <w:uiPriority w:val="0"/>
    <w:rPr>
      <w:rFonts w:ascii="仿宋_GB2312" w:eastAsia="仿宋_GB2312"/>
      <w:sz w:val="32"/>
    </w:rPr>
  </w:style>
  <w:style w:type="paragraph" w:styleId="23">
    <w:name w:val="Body Text Indent"/>
    <w:basedOn w:val="1"/>
    <w:link w:val="72"/>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autoRedefine/>
    <w:qFormat/>
    <w:uiPriority w:val="0"/>
    <w:pPr>
      <w:numPr>
        <w:ilvl w:val="0"/>
        <w:numId w:val="4"/>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Date"/>
    <w:basedOn w:val="1"/>
    <w:next w:val="1"/>
    <w:link w:val="73"/>
    <w:autoRedefine/>
    <w:qFormat/>
    <w:uiPriority w:val="0"/>
  </w:style>
  <w:style w:type="paragraph" w:styleId="33">
    <w:name w:val="Body Text Indent 2"/>
    <w:basedOn w:val="1"/>
    <w:link w:val="74"/>
    <w:autoRedefine/>
    <w:qFormat/>
    <w:uiPriority w:val="0"/>
    <w:pPr>
      <w:snapToGrid w:val="0"/>
      <w:spacing w:line="560" w:lineRule="atLeast"/>
      <w:ind w:firstLine="540"/>
    </w:pPr>
  </w:style>
  <w:style w:type="paragraph" w:styleId="34">
    <w:name w:val="Balloon Text"/>
    <w:basedOn w:val="1"/>
    <w:autoRedefine/>
    <w:qFormat/>
    <w:uiPriority w:val="0"/>
    <w:rPr>
      <w:sz w:val="18"/>
    </w:rPr>
  </w:style>
  <w:style w:type="paragraph" w:styleId="35">
    <w:name w:val="footer"/>
    <w:basedOn w:val="1"/>
    <w:autoRedefine/>
    <w:qFormat/>
    <w:uiPriority w:val="0"/>
    <w:pPr>
      <w:tabs>
        <w:tab w:val="center" w:pos="4153"/>
        <w:tab w:val="right" w:pos="8306"/>
      </w:tabs>
      <w:snapToGrid w:val="0"/>
      <w:jc w:val="left"/>
    </w:pPr>
    <w:rPr>
      <w:sz w:val="18"/>
    </w:rPr>
  </w:style>
  <w:style w:type="paragraph" w:styleId="3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autoRedefine/>
    <w:qFormat/>
    <w:uiPriority w:val="0"/>
    <w:pPr>
      <w:spacing w:line="180" w:lineRule="auto"/>
      <w:jc w:val="center"/>
    </w:pPr>
    <w:rPr>
      <w:sz w:val="30"/>
    </w:rPr>
  </w:style>
  <w:style w:type="paragraph" w:styleId="38">
    <w:name w:val="List Continue 4"/>
    <w:basedOn w:val="1"/>
    <w:autoRedefine/>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autoRedefine/>
    <w:qFormat/>
    <w:uiPriority w:val="0"/>
    <w:pPr>
      <w:ind w:left="1260" w:leftChars="600"/>
    </w:pPr>
  </w:style>
  <w:style w:type="paragraph" w:styleId="40">
    <w:name w:val="footnote text"/>
    <w:basedOn w:val="1"/>
    <w:link w:val="75"/>
    <w:autoRedefine/>
    <w:qFormat/>
    <w:uiPriority w:val="0"/>
    <w:pPr>
      <w:spacing w:line="360" w:lineRule="auto"/>
    </w:pPr>
    <w:rPr>
      <w:sz w:val="18"/>
    </w:rPr>
  </w:style>
  <w:style w:type="paragraph" w:styleId="41">
    <w:name w:val="toc 6"/>
    <w:basedOn w:val="1"/>
    <w:next w:val="1"/>
    <w:autoRedefine/>
    <w:qFormat/>
    <w:uiPriority w:val="0"/>
    <w:pPr>
      <w:ind w:left="2100" w:leftChars="1000"/>
    </w:pPr>
  </w:style>
  <w:style w:type="paragraph" w:styleId="42">
    <w:name w:val="List 5"/>
    <w:basedOn w:val="1"/>
    <w:autoRedefine/>
    <w:qFormat/>
    <w:uiPriority w:val="0"/>
    <w:pPr>
      <w:adjustRightInd w:val="0"/>
      <w:snapToGrid w:val="0"/>
      <w:spacing w:line="360" w:lineRule="auto"/>
      <w:ind w:left="100" w:leftChars="800" w:hanging="200" w:hangingChars="200"/>
    </w:pPr>
    <w:rPr>
      <w:sz w:val="24"/>
    </w:rPr>
  </w:style>
  <w:style w:type="paragraph" w:styleId="43">
    <w:name w:val="Body Text Indent 3"/>
    <w:basedOn w:val="1"/>
    <w:autoRedefine/>
    <w:qFormat/>
    <w:uiPriority w:val="0"/>
    <w:pPr>
      <w:spacing w:line="360" w:lineRule="auto"/>
      <w:ind w:firstLine="632"/>
    </w:pPr>
    <w:rPr>
      <w:rFonts w:ascii="黑体" w:eastAsia="黑体"/>
    </w:rPr>
  </w:style>
  <w:style w:type="paragraph" w:styleId="44">
    <w:name w:val="index 7"/>
    <w:basedOn w:val="1"/>
    <w:next w:val="1"/>
    <w:autoRedefine/>
    <w:qFormat/>
    <w:uiPriority w:val="0"/>
    <w:pPr>
      <w:ind w:left="1200" w:leftChars="1200" w:firstLine="0"/>
    </w:pPr>
    <w:rPr>
      <w:rFonts w:ascii="Times New Roman" w:hAnsi="Times New Roman" w:eastAsia="宋体" w:cs="Times New Roman"/>
    </w:rPr>
  </w:style>
  <w:style w:type="paragraph" w:styleId="45">
    <w:name w:val="table of figures"/>
    <w:basedOn w:val="1"/>
    <w:next w:val="1"/>
    <w:autoRedefine/>
    <w:qFormat/>
    <w:uiPriority w:val="0"/>
    <w:pPr>
      <w:tabs>
        <w:tab w:val="right" w:leader="dot" w:pos="8640"/>
      </w:tabs>
      <w:spacing w:line="360" w:lineRule="auto"/>
      <w:ind w:left="400" w:hanging="400"/>
    </w:pPr>
    <w:rPr>
      <w:sz w:val="24"/>
    </w:rPr>
  </w:style>
  <w:style w:type="paragraph" w:styleId="46">
    <w:name w:val="toc 2"/>
    <w:basedOn w:val="1"/>
    <w:next w:val="1"/>
    <w:autoRedefine/>
    <w:qFormat/>
    <w:uiPriority w:val="39"/>
    <w:pPr>
      <w:ind w:left="420" w:leftChars="200"/>
    </w:pPr>
  </w:style>
  <w:style w:type="paragraph" w:styleId="47">
    <w:name w:val="toc 9"/>
    <w:basedOn w:val="1"/>
    <w:next w:val="1"/>
    <w:autoRedefine/>
    <w:qFormat/>
    <w:uiPriority w:val="0"/>
    <w:pPr>
      <w:ind w:left="3360" w:leftChars="1600"/>
    </w:pPr>
  </w:style>
  <w:style w:type="paragraph" w:styleId="48">
    <w:name w:val="Body Text 2"/>
    <w:basedOn w:val="1"/>
    <w:autoRedefine/>
    <w:qFormat/>
    <w:uiPriority w:val="0"/>
    <w:pPr>
      <w:adjustRightInd w:val="0"/>
      <w:snapToGrid w:val="0"/>
      <w:spacing w:after="120" w:afterLines="0" w:afterAutospacing="0" w:line="480" w:lineRule="auto"/>
    </w:pPr>
    <w:rPr>
      <w:sz w:val="24"/>
    </w:rPr>
  </w:style>
  <w:style w:type="paragraph" w:styleId="49">
    <w:name w:val="List 4"/>
    <w:basedOn w:val="1"/>
    <w:autoRedefine/>
    <w:qFormat/>
    <w:uiPriority w:val="0"/>
    <w:pPr>
      <w:adjustRightInd w:val="0"/>
      <w:snapToGrid w:val="0"/>
      <w:spacing w:line="360" w:lineRule="auto"/>
      <w:ind w:left="100" w:leftChars="600" w:hanging="200" w:hangingChars="200"/>
    </w:pPr>
    <w:rPr>
      <w:sz w:val="24"/>
    </w:rPr>
  </w:style>
  <w:style w:type="paragraph" w:styleId="50">
    <w:name w:val="List Continue 2"/>
    <w:basedOn w:val="1"/>
    <w:autoRedefine/>
    <w:qFormat/>
    <w:uiPriority w:val="0"/>
    <w:pPr>
      <w:adjustRightInd w:val="0"/>
      <w:snapToGrid w:val="0"/>
      <w:spacing w:after="120" w:afterLines="0" w:afterAutospacing="0" w:line="360" w:lineRule="auto"/>
      <w:ind w:left="840" w:leftChars="400"/>
    </w:pPr>
    <w:rPr>
      <w:sz w:val="24"/>
    </w:rPr>
  </w:style>
  <w:style w:type="paragraph" w:styleId="51">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52">
    <w:name w:val="List Continue 3"/>
    <w:basedOn w:val="1"/>
    <w:autoRedefine/>
    <w:qFormat/>
    <w:uiPriority w:val="0"/>
    <w:pPr>
      <w:adjustRightInd w:val="0"/>
      <w:snapToGrid w:val="0"/>
      <w:spacing w:after="120" w:afterLines="0" w:afterAutospacing="0" w:line="360" w:lineRule="auto"/>
      <w:ind w:left="1260" w:leftChars="600"/>
    </w:pPr>
    <w:rPr>
      <w:sz w:val="24"/>
    </w:rPr>
  </w:style>
  <w:style w:type="paragraph" w:styleId="53">
    <w:name w:val="index 1"/>
    <w:basedOn w:val="1"/>
    <w:next w:val="1"/>
    <w:autoRedefine/>
    <w:qFormat/>
    <w:uiPriority w:val="0"/>
    <w:pPr>
      <w:adjustRightInd w:val="0"/>
      <w:spacing w:line="240" w:lineRule="atLeast"/>
      <w:textAlignment w:val="baseline"/>
    </w:pPr>
    <w:rPr>
      <w:rFonts w:ascii="宋体"/>
      <w:kern w:val="0"/>
      <w:sz w:val="21"/>
    </w:rPr>
  </w:style>
  <w:style w:type="paragraph" w:styleId="54">
    <w:name w:val="Title"/>
    <w:basedOn w:val="1"/>
    <w:autoRedefine/>
    <w:qFormat/>
    <w:uiPriority w:val="0"/>
    <w:pPr>
      <w:widowControl/>
      <w:spacing w:after="240" w:afterLines="0" w:afterAutospacing="0" w:line="360" w:lineRule="auto"/>
      <w:jc w:val="center"/>
    </w:pPr>
    <w:rPr>
      <w:rFonts w:ascii="Arial" w:hAnsi="Arial"/>
      <w:b/>
      <w:smallCaps/>
      <w:kern w:val="28"/>
      <w:sz w:val="36"/>
      <w:lang w:eastAsia="en-US"/>
    </w:rPr>
  </w:style>
  <w:style w:type="paragraph" w:styleId="55">
    <w:name w:val="annotation subject"/>
    <w:basedOn w:val="19"/>
    <w:next w:val="19"/>
    <w:link w:val="76"/>
    <w:autoRedefine/>
    <w:qFormat/>
    <w:uiPriority w:val="0"/>
    <w:pPr>
      <w:adjustRightInd/>
      <w:spacing w:line="240" w:lineRule="auto"/>
      <w:textAlignment w:val="auto"/>
    </w:pPr>
  </w:style>
  <w:style w:type="paragraph" w:styleId="56">
    <w:name w:val="Body Text First Indent"/>
    <w:basedOn w:val="22"/>
    <w:autoRedefine/>
    <w:qFormat/>
    <w:uiPriority w:val="0"/>
    <w:pPr>
      <w:spacing w:line="360" w:lineRule="auto"/>
      <w:ind w:firstLine="420"/>
    </w:pPr>
    <w:rPr>
      <w:rFonts w:ascii="宋体" w:hAnsi="宋体"/>
      <w:sz w:val="24"/>
    </w:rPr>
  </w:style>
  <w:style w:type="paragraph" w:styleId="57">
    <w:name w:val="Body Text First Indent 2"/>
    <w:basedOn w:val="23"/>
    <w:link w:val="77"/>
    <w:autoRedefine/>
    <w:qFormat/>
    <w:uiPriority w:val="0"/>
    <w:pPr>
      <w:spacing w:after="120" w:afterLines="0" w:line="240" w:lineRule="auto"/>
      <w:ind w:left="420" w:leftChars="200" w:firstLine="420" w:firstLineChars="200"/>
    </w:pPr>
  </w:style>
  <w:style w:type="table" w:styleId="59">
    <w:name w:val="Table Grid"/>
    <w:basedOn w:val="5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22"/>
    <w:rPr>
      <w:b/>
    </w:rPr>
  </w:style>
  <w:style w:type="character" w:styleId="62">
    <w:name w:val="page number"/>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customStyle="1" w:styleId="68">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9">
    <w:name w:val="标题 2 Char"/>
    <w:link w:val="3"/>
    <w:autoRedefine/>
    <w:qFormat/>
    <w:uiPriority w:val="0"/>
    <w:rPr>
      <w:rFonts w:ascii="Arial" w:hAnsi="Arial" w:eastAsia="黑体"/>
      <w:b/>
      <w:kern w:val="2"/>
      <w:sz w:val="32"/>
    </w:rPr>
  </w:style>
  <w:style w:type="character" w:customStyle="1" w:styleId="70">
    <w:name w:val="标题 3 Char"/>
    <w:link w:val="4"/>
    <w:autoRedefine/>
    <w:qFormat/>
    <w:uiPriority w:val="0"/>
    <w:rPr>
      <w:rFonts w:eastAsia="宋体"/>
      <w:b/>
      <w:kern w:val="2"/>
      <w:sz w:val="32"/>
      <w:lang w:val="en-US" w:eastAsia="zh-CN"/>
    </w:rPr>
  </w:style>
  <w:style w:type="character" w:customStyle="1" w:styleId="71">
    <w:name w:val="批注文字 Char"/>
    <w:link w:val="19"/>
    <w:autoRedefine/>
    <w:qFormat/>
    <w:uiPriority w:val="0"/>
    <w:rPr>
      <w:sz w:val="24"/>
    </w:rPr>
  </w:style>
  <w:style w:type="character" w:customStyle="1" w:styleId="72">
    <w:name w:val="正文文本缩进 Char"/>
    <w:link w:val="23"/>
    <w:autoRedefine/>
    <w:qFormat/>
    <w:uiPriority w:val="0"/>
    <w:rPr>
      <w:kern w:val="2"/>
      <w:sz w:val="44"/>
    </w:rPr>
  </w:style>
  <w:style w:type="character" w:customStyle="1" w:styleId="73">
    <w:name w:val="日期 Char"/>
    <w:link w:val="32"/>
    <w:autoRedefine/>
    <w:qFormat/>
    <w:uiPriority w:val="0"/>
    <w:rPr>
      <w:kern w:val="2"/>
      <w:sz w:val="28"/>
    </w:rPr>
  </w:style>
  <w:style w:type="character" w:customStyle="1" w:styleId="74">
    <w:name w:val="正文文本缩进 2 Char"/>
    <w:link w:val="33"/>
    <w:autoRedefine/>
    <w:qFormat/>
    <w:uiPriority w:val="0"/>
    <w:rPr>
      <w:kern w:val="2"/>
      <w:sz w:val="28"/>
    </w:rPr>
  </w:style>
  <w:style w:type="character" w:customStyle="1" w:styleId="75">
    <w:name w:val="脚注文本 Char"/>
    <w:link w:val="40"/>
    <w:autoRedefine/>
    <w:qFormat/>
    <w:uiPriority w:val="0"/>
    <w:rPr>
      <w:kern w:val="2"/>
      <w:sz w:val="18"/>
    </w:rPr>
  </w:style>
  <w:style w:type="character" w:customStyle="1" w:styleId="76">
    <w:name w:val="批注主题 Char"/>
    <w:link w:val="55"/>
    <w:autoRedefine/>
    <w:qFormat/>
    <w:uiPriority w:val="0"/>
  </w:style>
  <w:style w:type="character" w:customStyle="1" w:styleId="77">
    <w:name w:val="正文首行缩进 2 Char"/>
    <w:link w:val="57"/>
    <w:autoRedefine/>
    <w:qFormat/>
    <w:uiPriority w:val="0"/>
  </w:style>
  <w:style w:type="character" w:customStyle="1" w:styleId="78">
    <w:name w:val="v151"/>
    <w:autoRedefine/>
    <w:qFormat/>
    <w:uiPriority w:val="0"/>
    <w:rPr>
      <w:sz w:val="18"/>
    </w:rPr>
  </w:style>
  <w:style w:type="character" w:customStyle="1" w:styleId="79">
    <w:name w:val=" Char Char7"/>
    <w:autoRedefine/>
    <w:qFormat/>
    <w:uiPriority w:val="0"/>
    <w:rPr>
      <w:rFonts w:ascii="宋体" w:hAnsi="宋体" w:eastAsia="宋体"/>
      <w:kern w:val="2"/>
      <w:sz w:val="28"/>
    </w:rPr>
  </w:style>
  <w:style w:type="character" w:customStyle="1" w:styleId="80">
    <w:name w:val="小 Char"/>
    <w:autoRedefine/>
    <w:qFormat/>
    <w:uiPriority w:val="0"/>
    <w:rPr>
      <w:rFonts w:ascii="宋体" w:hAnsi="Courier New" w:eastAsia="宋体"/>
      <w:kern w:val="2"/>
      <w:sz w:val="21"/>
      <w:lang w:val="en-US" w:eastAsia="zh-CN" w:bidi="ar-SA"/>
    </w:rPr>
  </w:style>
  <w:style w:type="character" w:customStyle="1" w:styleId="81">
    <w:name w:val="文字 Char"/>
    <w:link w:val="82"/>
    <w:autoRedefine/>
    <w:qFormat/>
    <w:uiPriority w:val="0"/>
    <w:rPr>
      <w:rFonts w:ascii="宋体"/>
      <w:kern w:val="2"/>
      <w:sz w:val="28"/>
    </w:rPr>
  </w:style>
  <w:style w:type="paragraph" w:customStyle="1" w:styleId="82">
    <w:name w:val="文字"/>
    <w:basedOn w:val="1"/>
    <w:link w:val="81"/>
    <w:autoRedefine/>
    <w:qFormat/>
    <w:uiPriority w:val="0"/>
    <w:pPr>
      <w:tabs>
        <w:tab w:val="left" w:pos="8520"/>
      </w:tabs>
      <w:spacing w:line="312" w:lineRule="auto"/>
      <w:ind w:right="-210" w:firstLine="556"/>
    </w:pPr>
    <w:rPr>
      <w:rFonts w:ascii="宋体"/>
    </w:rPr>
  </w:style>
  <w:style w:type="character" w:customStyle="1" w:styleId="83">
    <w:name w:val="content-white1"/>
    <w:autoRedefine/>
    <w:qFormat/>
    <w:uiPriority w:val="0"/>
    <w:rPr>
      <w:rFonts w:ascii="_x000B__x000C_" w:hAnsi="_x000B__x000C_"/>
      <w:color w:val="auto"/>
      <w:sz w:val="18"/>
      <w:u w:val="none"/>
    </w:rPr>
  </w:style>
  <w:style w:type="character" w:customStyle="1" w:styleId="84">
    <w:name w:val="正文 + 三号 Char"/>
    <w:autoRedefine/>
    <w:qFormat/>
    <w:uiPriority w:val="0"/>
    <w:rPr>
      <w:rFonts w:eastAsia="宋体"/>
      <w:kern w:val="2"/>
      <w:sz w:val="21"/>
      <w:lang w:val="en-US" w:eastAsia="zh-CN"/>
    </w:rPr>
  </w:style>
  <w:style w:type="character" w:customStyle="1" w:styleId="85">
    <w:name w:val="H2 Char"/>
    <w:autoRedefine/>
    <w:qFormat/>
    <w:uiPriority w:val="0"/>
    <w:rPr>
      <w:rFonts w:ascii="Arial" w:hAnsi="Arial" w:eastAsia="宋体"/>
      <w:kern w:val="2"/>
      <w:sz w:val="28"/>
      <w:lang w:val="en-US" w:eastAsia="zh-CN"/>
    </w:rPr>
  </w:style>
  <w:style w:type="character" w:customStyle="1" w:styleId="86">
    <w:name w:val=" Char Char3"/>
    <w:autoRedefine/>
    <w:qFormat/>
    <w:uiPriority w:val="0"/>
    <w:rPr>
      <w:rFonts w:eastAsia="宋体"/>
      <w:kern w:val="2"/>
      <w:sz w:val="18"/>
      <w:lang w:val="en-US" w:eastAsia="zh-CN"/>
    </w:rPr>
  </w:style>
  <w:style w:type="character" w:customStyle="1" w:styleId="87">
    <w:name w:val=" Char Char4"/>
    <w:autoRedefine/>
    <w:qFormat/>
    <w:uiPriority w:val="0"/>
    <w:rPr>
      <w:rFonts w:eastAsia="宋体"/>
      <w:b/>
      <w:kern w:val="2"/>
      <w:sz w:val="21"/>
      <w:lang w:val="en-US" w:eastAsia="zh-CN"/>
    </w:rPr>
  </w:style>
  <w:style w:type="character" w:customStyle="1" w:styleId="88">
    <w:name w:val="Table Text Char1 Char"/>
    <w:autoRedefine/>
    <w:qFormat/>
    <w:uiPriority w:val="0"/>
    <w:rPr>
      <w:rFonts w:ascii="Arial" w:hAnsi="Arial"/>
      <w:kern w:val="2"/>
      <w:sz w:val="18"/>
      <w:lang w:val="en-US" w:eastAsia="zh-CN" w:bidi="ar-SA"/>
    </w:rPr>
  </w:style>
  <w:style w:type="character" w:customStyle="1" w:styleId="89">
    <w:name w:val=" Char Char5"/>
    <w:autoRedefine/>
    <w:qFormat/>
    <w:uiPriority w:val="0"/>
    <w:rPr>
      <w:rFonts w:ascii="Arial" w:hAnsi="Arial" w:eastAsia="宋体"/>
      <w:b/>
      <w:smallCaps/>
      <w:kern w:val="28"/>
      <w:sz w:val="36"/>
      <w:lang w:val="en-US" w:eastAsia="en-US"/>
    </w:rPr>
  </w:style>
  <w:style w:type="character" w:customStyle="1" w:styleId="90">
    <w:name w:val=" Char Char"/>
    <w:autoRedefine/>
    <w:qFormat/>
    <w:uiPriority w:val="0"/>
    <w:rPr>
      <w:rFonts w:ascii="宋体" w:hAnsi="宋体" w:eastAsia="宋体"/>
      <w:kern w:val="2"/>
      <w:sz w:val="24"/>
      <w:lang w:val="en-US" w:eastAsia="zh-CN" w:bidi="ar-SA"/>
    </w:rPr>
  </w:style>
  <w:style w:type="character" w:customStyle="1" w:styleId="91">
    <w:name w:val="Table Heading Char Char"/>
    <w:autoRedefine/>
    <w:qFormat/>
    <w:uiPriority w:val="0"/>
    <w:rPr>
      <w:rFonts w:ascii="Arial" w:hAnsi="Arial" w:eastAsia="黑体"/>
      <w:kern w:val="2"/>
      <w:sz w:val="18"/>
      <w:lang w:val="en-US" w:eastAsia="zh-CN"/>
    </w:rPr>
  </w:style>
  <w:style w:type="character" w:customStyle="1" w:styleId="92">
    <w:name w:val="Table Text Char Char Char Char"/>
    <w:link w:val="93"/>
    <w:autoRedefine/>
    <w:qFormat/>
    <w:uiPriority w:val="0"/>
    <w:rPr>
      <w:rFonts w:ascii="Arial" w:hAnsi="Arial"/>
      <w:kern w:val="2"/>
      <w:sz w:val="18"/>
      <w:lang w:val="en-US" w:eastAsia="zh-CN" w:bidi="ar-SA"/>
    </w:rPr>
  </w:style>
  <w:style w:type="paragraph" w:customStyle="1" w:styleId="93">
    <w:name w:val="Table Text Char Char Char"/>
    <w:link w:val="92"/>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94">
    <w:name w:val="Table Text Char"/>
    <w:link w:val="95"/>
    <w:autoRedefine/>
    <w:qFormat/>
    <w:uiPriority w:val="0"/>
    <w:rPr>
      <w:rFonts w:ascii="Arial" w:hAnsi="Arial"/>
      <w:kern w:val="2"/>
      <w:sz w:val="18"/>
      <w:lang w:val="en-US" w:eastAsia="zh-CN" w:bidi="ar-SA"/>
    </w:rPr>
  </w:style>
  <w:style w:type="paragraph" w:customStyle="1" w:styleId="95">
    <w:name w:val="Table Text"/>
    <w:link w:val="94"/>
    <w:autoRedefine/>
    <w:qFormat/>
    <w:uiPriority w:val="0"/>
    <w:pPr>
      <w:snapToGrid w:val="0"/>
      <w:spacing w:before="80" w:after="80"/>
    </w:pPr>
    <w:rPr>
      <w:rFonts w:ascii="Arial" w:hAnsi="Arial" w:eastAsia="宋体" w:cs="Times New Roman"/>
      <w:kern w:val="2"/>
      <w:sz w:val="18"/>
      <w:lang w:val="en-US" w:eastAsia="zh-CN" w:bidi="ar-SA"/>
    </w:rPr>
  </w:style>
  <w:style w:type="character" w:customStyle="1" w:styleId="96">
    <w:name w:val=" Char Char2"/>
    <w:autoRedefine/>
    <w:qFormat/>
    <w:uiPriority w:val="0"/>
    <w:rPr>
      <w:rFonts w:eastAsia="宋体"/>
      <w:kern w:val="2"/>
      <w:sz w:val="18"/>
      <w:lang w:val="en-US" w:eastAsia="zh-CN"/>
    </w:rPr>
  </w:style>
  <w:style w:type="character" w:customStyle="1" w:styleId="97">
    <w:name w:val="标书正文:  0.74 厘米 Char1"/>
    <w:autoRedefine/>
    <w:qFormat/>
    <w:uiPriority w:val="0"/>
    <w:rPr>
      <w:rFonts w:eastAsia="宋体"/>
      <w:kern w:val="2"/>
      <w:sz w:val="24"/>
      <w:lang w:val="en-US" w:eastAsia="zh-CN"/>
    </w:rPr>
  </w:style>
  <w:style w:type="character" w:customStyle="1" w:styleId="98">
    <w:name w:val="样式 宋体"/>
    <w:autoRedefine/>
    <w:qFormat/>
    <w:uiPriority w:val="0"/>
    <w:rPr>
      <w:rFonts w:ascii="宋体" w:hAnsi="宋体" w:eastAsia="宋体"/>
      <w:sz w:val="28"/>
    </w:rPr>
  </w:style>
  <w:style w:type="character" w:customStyle="1" w:styleId="99">
    <w:name w:val="未命名11"/>
    <w:autoRedefine/>
    <w:qFormat/>
    <w:uiPriority w:val="0"/>
    <w:rPr>
      <w:color w:val="77FFFF"/>
      <w:sz w:val="24"/>
    </w:rPr>
  </w:style>
  <w:style w:type="character" w:customStyle="1" w:styleId="100">
    <w:name w:val="crowed11"/>
    <w:autoRedefine/>
    <w:qFormat/>
    <w:uiPriority w:val="0"/>
    <w:rPr>
      <w:rFonts w:hint="default" w:ascii="_x000B__x000C_" w:hAnsi="_x000B__x000C_"/>
      <w:sz w:val="24"/>
    </w:rPr>
  </w:style>
  <w:style w:type="character" w:customStyle="1" w:styleId="101">
    <w:name w:val=" Char Char6"/>
    <w:autoRedefine/>
    <w:qFormat/>
    <w:uiPriority w:val="0"/>
    <w:rPr>
      <w:rFonts w:ascii="仿宋_GB2312" w:eastAsia="仿宋_GB2312"/>
      <w:kern w:val="2"/>
      <w:sz w:val="32"/>
    </w:rPr>
  </w:style>
  <w:style w:type="character" w:customStyle="1" w:styleId="102">
    <w:name w:val="title_emph1"/>
    <w:autoRedefine/>
    <w:qFormat/>
    <w:uiPriority w:val="0"/>
    <w:rPr>
      <w:rFonts w:hint="default" w:ascii="Arial" w:hAnsi="Arial"/>
      <w:b/>
      <w:sz w:val="20"/>
    </w:rPr>
  </w:style>
  <w:style w:type="character" w:customStyle="1" w:styleId="103">
    <w:name w:val="font1"/>
    <w:autoRedefine/>
    <w:qFormat/>
    <w:uiPriority w:val="0"/>
    <w:rPr>
      <w:color w:val="000000"/>
      <w:sz w:val="18"/>
    </w:rPr>
  </w:style>
  <w:style w:type="character" w:customStyle="1" w:styleId="104">
    <w:name w:val=" Char Char11"/>
    <w:autoRedefine/>
    <w:qFormat/>
    <w:uiPriority w:val="0"/>
    <w:rPr>
      <w:rFonts w:ascii="宋体"/>
      <w:kern w:val="2"/>
      <w:sz w:val="28"/>
    </w:rPr>
  </w:style>
  <w:style w:type="character" w:customStyle="1" w:styleId="105">
    <w:name w:val="top-det1"/>
    <w:autoRedefine/>
    <w:qFormat/>
    <w:uiPriority w:val="0"/>
    <w:rPr>
      <w:b/>
      <w:color w:val="000000"/>
    </w:rPr>
  </w:style>
  <w:style w:type="paragraph" w:customStyle="1" w:styleId="106">
    <w:name w:val="二级列表"/>
    <w:basedOn w:val="107"/>
    <w:next w:val="107"/>
    <w:autoRedefine/>
    <w:qFormat/>
    <w:uiPriority w:val="0"/>
    <w:pPr>
      <w:tabs>
        <w:tab w:val="left" w:pos="2120"/>
      </w:tabs>
      <w:ind w:firstLine="0" w:firstLineChars="0"/>
    </w:pPr>
    <w:rPr>
      <w:b/>
    </w:rPr>
  </w:style>
  <w:style w:type="paragraph" w:customStyle="1" w:styleId="107">
    <w:name w:val="段落正文"/>
    <w:basedOn w:val="1"/>
    <w:autoRedefine/>
    <w:qFormat/>
    <w:uiPriority w:val="0"/>
    <w:pPr>
      <w:spacing w:before="156" w:beforeLines="50" w:beforeAutospacing="0" w:line="360" w:lineRule="auto"/>
      <w:ind w:firstLine="200" w:firstLineChars="200"/>
    </w:pPr>
    <w:rPr>
      <w:spacing w:val="2"/>
      <w:sz w:val="24"/>
    </w:rPr>
  </w:style>
  <w:style w:type="paragraph" w:customStyle="1" w:styleId="108">
    <w:name w:val="标题3——2"/>
    <w:basedOn w:val="4"/>
    <w:next w:val="56"/>
    <w:autoRedefine/>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09">
    <w:name w:val="文本1"/>
    <w:basedOn w:val="1"/>
    <w:autoRedefine/>
    <w:qFormat/>
    <w:uiPriority w:val="0"/>
    <w:pPr>
      <w:adjustRightInd w:val="0"/>
      <w:spacing w:line="312" w:lineRule="atLeast"/>
      <w:jc w:val="center"/>
      <w:textAlignment w:val="baseline"/>
    </w:pPr>
    <w:rPr>
      <w:kern w:val="0"/>
      <w:sz w:val="18"/>
    </w:rPr>
  </w:style>
  <w:style w:type="paragraph" w:customStyle="1" w:styleId="110">
    <w:name w:val="Title - Revision"/>
    <w:basedOn w:val="54"/>
    <w:autoRedefine/>
    <w:qFormat/>
    <w:uiPriority w:val="0"/>
    <w:pPr>
      <w:spacing w:before="720" w:beforeLines="0" w:beforeAutospacing="0"/>
    </w:pPr>
  </w:style>
  <w:style w:type="paragraph" w:customStyle="1" w:styleId="111">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12">
    <w:name w:val="项目"/>
    <w:basedOn w:val="1"/>
    <w:autoRedefine/>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13">
    <w:name w:val="二级条标题"/>
    <w:basedOn w:val="114"/>
    <w:next w:val="68"/>
    <w:autoRedefine/>
    <w:qFormat/>
    <w:uiPriority w:val="0"/>
    <w:pPr>
      <w:ind w:left="840"/>
      <w:outlineLvl w:val="3"/>
    </w:pPr>
  </w:style>
  <w:style w:type="paragraph" w:customStyle="1" w:styleId="114">
    <w:name w:val="一级条标题"/>
    <w:basedOn w:val="115"/>
    <w:next w:val="68"/>
    <w:autoRedefine/>
    <w:qFormat/>
    <w:uiPriority w:val="0"/>
    <w:pPr>
      <w:numPr>
        <w:ilvl w:val="1"/>
        <w:numId w:val="0"/>
      </w:numPr>
      <w:spacing w:before="0" w:beforeLines="0" w:beforeAutospacing="0" w:after="0" w:afterLines="0" w:afterAutospacing="0"/>
      <w:ind w:left="525"/>
      <w:outlineLvl w:val="2"/>
    </w:pPr>
    <w:rPr>
      <w:sz w:val="21"/>
    </w:rPr>
  </w:style>
  <w:style w:type="paragraph" w:customStyle="1" w:styleId="115">
    <w:name w:val="章标题"/>
    <w:next w:val="1"/>
    <w:autoRedefine/>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6">
    <w:name w:val="1.正文"/>
    <w:basedOn w:val="1"/>
    <w:autoRedefine/>
    <w:qFormat/>
    <w:uiPriority w:val="0"/>
    <w:pPr>
      <w:spacing w:line="360" w:lineRule="auto"/>
      <w:ind w:left="540" w:leftChars="225" w:firstLine="540" w:firstLineChars="225"/>
    </w:pPr>
    <w:rPr>
      <w:sz w:val="24"/>
    </w:rPr>
  </w:style>
  <w:style w:type="paragraph" w:customStyle="1" w:styleId="117">
    <w:name w:val="tabletext"/>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8">
    <w:name w:val="编号正文"/>
    <w:basedOn w:val="119"/>
    <w:autoRedefine/>
    <w:qFormat/>
    <w:uiPriority w:val="0"/>
    <w:pPr>
      <w:snapToGrid/>
      <w:spacing w:line="360" w:lineRule="auto"/>
      <w:ind w:left="1407" w:hanging="1047"/>
      <w:jc w:val="left"/>
    </w:pPr>
    <w:rPr>
      <w:rFonts w:eastAsia="仿宋_GB2312"/>
    </w:rPr>
  </w:style>
  <w:style w:type="paragraph" w:customStyle="1" w:styleId="119">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0">
    <w:name w:val="样式3"/>
    <w:basedOn w:val="2"/>
    <w:next w:val="2"/>
    <w:autoRedefine/>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1">
    <w:name w:val="Item Step in Table"/>
    <w:autoRedefin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22">
    <w:name w:val="默认段落字体 Para Char Char Char Char Char Char Char Char Char1 Char Char Char Char"/>
    <w:basedOn w:val="1"/>
    <w:autoRedefine/>
    <w:qFormat/>
    <w:uiPriority w:val="0"/>
    <w:rPr>
      <w:rFonts w:ascii="Tahoma" w:hAnsi="Tahoma"/>
      <w:sz w:val="24"/>
    </w:rPr>
  </w:style>
  <w:style w:type="paragraph" w:customStyle="1" w:styleId="123">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24">
    <w:name w:val=" Char Char Char1 Char Char Char Char Char Char Char Char Char Char Char Char Char"/>
    <w:basedOn w:val="1"/>
    <w:autoRedefine/>
    <w:qFormat/>
    <w:uiPriority w:val="0"/>
    <w:pPr>
      <w:widowControl/>
      <w:spacing w:after="160" w:afterLines="0" w:line="240" w:lineRule="exact"/>
      <w:jc w:val="left"/>
    </w:pPr>
    <w:rPr>
      <w:rFonts w:ascii="Verdana" w:hAnsi="Verdana"/>
      <w:kern w:val="0"/>
      <w:sz w:val="18"/>
      <w:lang w:eastAsia="en-US"/>
    </w:rPr>
  </w:style>
  <w:style w:type="paragraph" w:customStyle="1" w:styleId="125">
    <w:name w:val=" Char Char14 Char Char"/>
    <w:basedOn w:val="1"/>
    <w:autoRedefine/>
    <w:qFormat/>
    <w:uiPriority w:val="0"/>
    <w:rPr>
      <w:sz w:val="21"/>
      <w:szCs w:val="24"/>
    </w:rPr>
  </w:style>
  <w:style w:type="paragraph" w:customStyle="1" w:styleId="126">
    <w:name w:val=" Char Char Char Char Char"/>
    <w:basedOn w:val="1"/>
    <w:autoRedefine/>
    <w:qFormat/>
    <w:uiPriority w:val="0"/>
    <w:pPr>
      <w:numPr>
        <w:ilvl w:val="0"/>
        <w:numId w:val="2"/>
      </w:numPr>
      <w:tabs>
        <w:tab w:val="left" w:pos="425"/>
        <w:tab w:val="clear" w:pos="1620"/>
      </w:tabs>
    </w:pPr>
    <w:rPr>
      <w:rFonts w:ascii="Tahoma" w:hAnsi="Tahoma"/>
      <w:sz w:val="24"/>
    </w:rPr>
  </w:style>
  <w:style w:type="paragraph" w:customStyle="1" w:styleId="127">
    <w:name w:val=" Char2 Char Char Char Char Char Char"/>
    <w:basedOn w:val="1"/>
    <w:autoRedefine/>
    <w:qFormat/>
    <w:uiPriority w:val="0"/>
    <w:rPr>
      <w:rFonts w:ascii="仿宋_GB2312"/>
      <w:b/>
      <w:sz w:val="30"/>
    </w:rPr>
  </w:style>
  <w:style w:type="paragraph" w:customStyle="1" w:styleId="128">
    <w:name w:val="_Style 127"/>
    <w:autoRedefine/>
    <w:qFormat/>
    <w:uiPriority w:val="0"/>
    <w:rPr>
      <w:rFonts w:ascii="Times New Roman" w:hAnsi="Times New Roman" w:eastAsia="宋体" w:cs="Times New Roman"/>
      <w:kern w:val="2"/>
      <w:sz w:val="21"/>
      <w:lang w:val="en-US" w:eastAsia="zh-CN" w:bidi="ar-SA"/>
    </w:rPr>
  </w:style>
  <w:style w:type="paragraph" w:customStyle="1" w:styleId="129">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30">
    <w:name w:val="正文 + 三号"/>
    <w:basedOn w:val="1"/>
    <w:autoRedefine/>
    <w:qFormat/>
    <w:uiPriority w:val="0"/>
    <w:rPr>
      <w:sz w:val="21"/>
    </w:rPr>
  </w:style>
  <w:style w:type="paragraph" w:customStyle="1" w:styleId="131">
    <w:name w:val="样式 首行缩进:  0.74 厘米"/>
    <w:basedOn w:val="1"/>
    <w:autoRedefine/>
    <w:qFormat/>
    <w:uiPriority w:val="0"/>
    <w:pPr>
      <w:spacing w:line="360" w:lineRule="auto"/>
      <w:ind w:firstLine="420"/>
    </w:pPr>
    <w:rPr>
      <w:sz w:val="24"/>
    </w:rPr>
  </w:style>
  <w:style w:type="paragraph" w:customStyle="1" w:styleId="132">
    <w:name w:val="样式 样式 首行缩进:  2 字符 + 首行缩进:  2 字符"/>
    <w:basedOn w:val="1"/>
    <w:autoRedefine/>
    <w:qFormat/>
    <w:uiPriority w:val="0"/>
    <w:pPr>
      <w:numPr>
        <w:ilvl w:val="0"/>
        <w:numId w:val="6"/>
      </w:numPr>
      <w:tabs>
        <w:tab w:val="clear" w:pos="1230"/>
      </w:tabs>
      <w:spacing w:line="360" w:lineRule="auto"/>
      <w:ind w:firstLine="480" w:firstLineChars="200"/>
    </w:pPr>
    <w:rPr>
      <w:sz w:val="24"/>
    </w:rPr>
  </w:style>
  <w:style w:type="paragraph" w:customStyle="1" w:styleId="133">
    <w:name w:val="标题2"/>
    <w:basedOn w:val="3"/>
    <w:autoRedefine/>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34">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Table Contents"/>
    <w:basedOn w:val="22"/>
    <w:autoRedefine/>
    <w:qFormat/>
    <w:uiPriority w:val="0"/>
    <w:pPr>
      <w:suppressAutoHyphens/>
      <w:jc w:val="left"/>
    </w:pPr>
    <w:rPr>
      <w:rFonts w:ascii="Times New Roman" w:eastAsia="Times New Roman"/>
      <w:kern w:val="0"/>
      <w:sz w:val="24"/>
    </w:rPr>
  </w:style>
  <w:style w:type="paragraph" w:customStyle="1" w:styleId="136">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37">
    <w:name w:val=" Char Char Char Char Char Char Char"/>
    <w:basedOn w:val="1"/>
    <w:autoRedefine/>
    <w:qFormat/>
    <w:uiPriority w:val="0"/>
    <w:rPr>
      <w:rFonts w:ascii="Tahoma" w:hAnsi="Tahoma"/>
      <w:sz w:val="24"/>
    </w:rPr>
  </w:style>
  <w:style w:type="paragraph" w:customStyle="1" w:styleId="138">
    <w:name w:val="样式2"/>
    <w:basedOn w:val="5"/>
    <w:autoRedefine/>
    <w:qFormat/>
    <w:uiPriority w:val="0"/>
    <w:pPr>
      <w:numPr>
        <w:ilvl w:val="0"/>
        <w:numId w:val="7"/>
      </w:numPr>
      <w:spacing w:before="560" w:beforeLines="0" w:line="400" w:lineRule="exact"/>
      <w:jc w:val="center"/>
      <w:outlineLvl w:val="0"/>
    </w:pPr>
    <w:rPr>
      <w:b w:val="0"/>
      <w:sz w:val="44"/>
    </w:rPr>
  </w:style>
  <w:style w:type="paragraph" w:customStyle="1" w:styleId="139">
    <w:name w:val="内容标题"/>
    <w:basedOn w:val="17"/>
    <w:autoRedefine/>
    <w:qFormat/>
    <w:uiPriority w:val="0"/>
    <w:rPr>
      <w:rFonts w:ascii="Tahoma" w:hAnsi="Tahoma"/>
      <w:sz w:val="24"/>
    </w:rPr>
  </w:style>
  <w:style w:type="paragraph" w:customStyle="1" w:styleId="140">
    <w:name w:val="xl40"/>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41">
    <w:name w:val="1"/>
    <w:basedOn w:val="1"/>
    <w:next w:val="30"/>
    <w:autoRedefine/>
    <w:qFormat/>
    <w:uiPriority w:val="0"/>
    <w:rPr>
      <w:rFonts w:ascii="宋体" w:hAnsi="Courier New"/>
      <w:sz w:val="21"/>
    </w:rPr>
  </w:style>
  <w:style w:type="paragraph" w:customStyle="1" w:styleId="142">
    <w:name w:val="列表项目"/>
    <w:basedOn w:val="1"/>
    <w:autoRedefine/>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43">
    <w:name w:val="style1"/>
    <w:basedOn w:val="1"/>
    <w:autoRedefine/>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44">
    <w:name w:val="Char Char Char Char Char Char Char"/>
    <w:basedOn w:val="17"/>
    <w:autoRedefine/>
    <w:qFormat/>
    <w:uiPriority w:val="0"/>
    <w:rPr>
      <w:rFonts w:ascii="宋体" w:hAnsi="Tahoma"/>
    </w:rPr>
  </w:style>
  <w:style w:type="paragraph" w:customStyle="1" w:styleId="145">
    <w:name w:val="样式 标题 6第五层条 + 三号 段前: 0.5 行"/>
    <w:basedOn w:val="7"/>
    <w:autoRedefine/>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46">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正文首行缩进 2 + 首行缩进:  2 字符"/>
    <w:basedOn w:val="1"/>
    <w:autoRedefine/>
    <w:qFormat/>
    <w:uiPriority w:val="0"/>
    <w:pPr>
      <w:numPr>
        <w:ilvl w:val="0"/>
        <w:numId w:val="8"/>
      </w:numPr>
      <w:adjustRightInd w:val="0"/>
      <w:snapToGrid w:val="0"/>
      <w:spacing w:line="360" w:lineRule="auto"/>
    </w:pPr>
    <w:rPr>
      <w:rFonts w:ascii="Arial" w:hAnsi="Arial"/>
      <w:b/>
      <w:sz w:val="24"/>
    </w:rPr>
  </w:style>
  <w:style w:type="paragraph" w:customStyle="1" w:styleId="148">
    <w:name w:val="样式 行距: 1.5 倍行距1"/>
    <w:basedOn w:val="1"/>
    <w:autoRedefine/>
    <w:qFormat/>
    <w:uiPriority w:val="0"/>
    <w:pPr>
      <w:snapToGrid w:val="0"/>
    </w:pPr>
    <w:rPr>
      <w:sz w:val="21"/>
    </w:rPr>
  </w:style>
  <w:style w:type="paragraph" w:customStyle="1" w:styleId="149">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0">
    <w:name w:val="00"/>
    <w:basedOn w:val="1"/>
    <w:autoRedefine/>
    <w:qFormat/>
    <w:uiPriority w:val="0"/>
    <w:pPr>
      <w:autoSpaceDE w:val="0"/>
      <w:autoSpaceDN w:val="0"/>
      <w:adjustRightInd w:val="0"/>
      <w:jc w:val="left"/>
    </w:pPr>
    <w:rPr>
      <w:rFonts w:ascii="黑体" w:eastAsia="黑体"/>
      <w:b/>
      <w:kern w:val="0"/>
      <w:sz w:val="20"/>
    </w:rPr>
  </w:style>
  <w:style w:type="paragraph" w:customStyle="1" w:styleId="151">
    <w:name w:val="xl27"/>
    <w:basedOn w:val="1"/>
    <w:autoRedefine/>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52">
    <w:name w:val="Char Char Char Char"/>
    <w:basedOn w:val="1"/>
    <w:autoRedefine/>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3">
    <w:name w:val=" Char Char Char Char Char Char1 Char"/>
    <w:basedOn w:val="1"/>
    <w:autoRedefine/>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54">
    <w:name w:val="标准正文"/>
    <w:basedOn w:val="23"/>
    <w:autoRedefine/>
    <w:qFormat/>
    <w:uiPriority w:val="0"/>
    <w:pPr>
      <w:spacing w:before="60" w:beforeLines="0" w:after="60" w:afterLines="0" w:line="360" w:lineRule="auto"/>
      <w:ind w:left="0" w:firstLine="482"/>
    </w:pPr>
    <w:rPr>
      <w:rFonts w:ascii="Arial" w:hAnsi="Arial"/>
      <w:sz w:val="24"/>
    </w:rPr>
  </w:style>
  <w:style w:type="paragraph" w:customStyle="1" w:styleId="155">
    <w:name w:val="Body Text 2"/>
    <w:basedOn w:val="1"/>
    <w:autoRedefine/>
    <w:qFormat/>
    <w:uiPriority w:val="0"/>
    <w:pPr>
      <w:adjustRightInd w:val="0"/>
      <w:spacing w:before="120" w:beforeLines="0" w:beforeAutospacing="0" w:line="360" w:lineRule="auto"/>
      <w:ind w:firstLine="480"/>
      <w:textAlignment w:val="baseline"/>
    </w:pPr>
    <w:rPr>
      <w:sz w:val="24"/>
    </w:rPr>
  </w:style>
  <w:style w:type="paragraph" w:customStyle="1" w:styleId="156">
    <w:name w:val="样式1"/>
    <w:basedOn w:val="5"/>
    <w:autoRedefine/>
    <w:qFormat/>
    <w:uiPriority w:val="0"/>
    <w:pPr>
      <w:tabs>
        <w:tab w:val="left" w:pos="720"/>
      </w:tabs>
      <w:spacing w:before="500" w:beforeLines="0" w:beforeAutospacing="0" w:after="260" w:afterLines="0" w:afterAutospacing="0" w:line="560" w:lineRule="atLeast"/>
      <w:ind w:left="420" w:hanging="420"/>
    </w:pPr>
  </w:style>
  <w:style w:type="paragraph" w:customStyle="1" w:styleId="157">
    <w:name w:val="正文4"/>
    <w:basedOn w:val="1"/>
    <w:autoRedefine/>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8">
    <w:name w:val=" Char Char1"/>
    <w:basedOn w:val="1"/>
    <w:autoRedefine/>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59">
    <w:name w:val="正文格式"/>
    <w:basedOn w:val="1"/>
    <w:autoRedefine/>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60">
    <w:name w:val="文本框样式1"/>
    <w:basedOn w:val="1"/>
    <w:autoRedefine/>
    <w:qFormat/>
    <w:uiPriority w:val="0"/>
    <w:pPr>
      <w:adjustRightInd w:val="0"/>
      <w:snapToGrid w:val="0"/>
      <w:spacing w:before="60" w:beforeLines="0" w:beforeAutospacing="0" w:line="180" w:lineRule="exact"/>
      <w:jc w:val="center"/>
    </w:pPr>
    <w:rPr>
      <w:sz w:val="21"/>
    </w:rPr>
  </w:style>
  <w:style w:type="paragraph" w:customStyle="1" w:styleId="161">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162">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3">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64">
    <w:name w:val=" Char Char Char Char Char Char Char Char Char Char Char Char Char"/>
    <w:basedOn w:val="1"/>
    <w:autoRedefine/>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65">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66">
    <w:name w:val="关键词"/>
    <w:basedOn w:val="1"/>
    <w:next w:val="1"/>
    <w:autoRedefine/>
    <w:qFormat/>
    <w:uiPriority w:val="0"/>
    <w:pPr>
      <w:spacing w:line="360" w:lineRule="auto"/>
    </w:pPr>
    <w:rPr>
      <w:rFonts w:eastAsia="黑体"/>
      <w:sz w:val="20"/>
    </w:rPr>
  </w:style>
  <w:style w:type="paragraph" w:customStyle="1" w:styleId="167">
    <w:name w:val="Title - Date"/>
    <w:basedOn w:val="54"/>
    <w:next w:val="1"/>
    <w:autoRedefine/>
    <w:qFormat/>
    <w:uiPriority w:val="0"/>
    <w:pPr>
      <w:spacing w:before="240" w:beforeLines="0" w:beforeAutospacing="0" w:after="720" w:afterLines="0" w:afterAutospacing="0"/>
    </w:pPr>
    <w:rPr>
      <w:sz w:val="28"/>
    </w:rPr>
  </w:style>
  <w:style w:type="paragraph" w:customStyle="1" w:styleId="168">
    <w:name w:val="content"/>
    <w:basedOn w:val="1"/>
    <w:autoRedefine/>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69">
    <w:name w:val="图标"/>
    <w:basedOn w:val="1"/>
    <w:next w:val="1"/>
    <w:autoRedefine/>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0">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71">
    <w:name w:val="表号"/>
    <w:basedOn w:val="1"/>
    <w:autoRedefine/>
    <w:qFormat/>
    <w:uiPriority w:val="0"/>
    <w:pPr>
      <w:numPr>
        <w:ilvl w:val="0"/>
        <w:numId w:val="9"/>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2">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73">
    <w:name w:val="Style Heading 3h3Heading 3 - oldLevel 3 HeadH3level_3PIM 3se..."/>
    <w:basedOn w:val="4"/>
    <w:autoRedefine/>
    <w:qFormat/>
    <w:uiPriority w:val="0"/>
    <w:pPr>
      <w:numPr>
        <w:ilvl w:val="2"/>
        <w:numId w:val="2"/>
      </w:numPr>
      <w:tabs>
        <w:tab w:val="left" w:pos="709"/>
        <w:tab w:val="left" w:pos="1620"/>
        <w:tab w:val="clear" w:pos="2444"/>
      </w:tabs>
      <w:spacing w:line="413" w:lineRule="auto"/>
    </w:pPr>
  </w:style>
  <w:style w:type="paragraph" w:customStyle="1" w:styleId="174">
    <w:name w:val="样式4"/>
    <w:basedOn w:val="5"/>
    <w:autoRedefine/>
    <w:qFormat/>
    <w:uiPriority w:val="0"/>
    <w:pPr>
      <w:adjustRightInd w:val="0"/>
      <w:snapToGrid w:val="0"/>
    </w:pPr>
  </w:style>
  <w:style w:type="paragraph" w:customStyle="1" w:styleId="175">
    <w:name w:val="摘要"/>
    <w:basedOn w:val="1"/>
    <w:next w:val="3"/>
    <w:autoRedefine/>
    <w:qFormat/>
    <w:uiPriority w:val="0"/>
    <w:pPr>
      <w:spacing w:line="360" w:lineRule="auto"/>
    </w:pPr>
    <w:rPr>
      <w:rFonts w:eastAsia="黑体"/>
      <w:sz w:val="20"/>
    </w:rPr>
  </w:style>
  <w:style w:type="paragraph" w:customStyle="1" w:styleId="176">
    <w:name w:val=" Char Char 字元 字元 字元 Char Char Char Char"/>
    <w:basedOn w:val="1"/>
    <w:autoRedefine/>
    <w:qFormat/>
    <w:uiPriority w:val="0"/>
    <w:pPr>
      <w:adjustRightInd w:val="0"/>
      <w:spacing w:line="360" w:lineRule="auto"/>
    </w:pPr>
    <w:rPr>
      <w:kern w:val="0"/>
      <w:sz w:val="24"/>
    </w:rPr>
  </w:style>
  <w:style w:type="paragraph" w:customStyle="1" w:styleId="177">
    <w:name w:val="可研正文"/>
    <w:basedOn w:val="22"/>
    <w:autoRedefine/>
    <w:qFormat/>
    <w:uiPriority w:val="0"/>
    <w:pPr>
      <w:adjustRightInd w:val="0"/>
      <w:snapToGrid w:val="0"/>
      <w:spacing w:line="440" w:lineRule="exact"/>
      <w:ind w:firstLine="567"/>
    </w:pPr>
    <w:rPr>
      <w:sz w:val="28"/>
    </w:rPr>
  </w:style>
  <w:style w:type="paragraph" w:customStyle="1" w:styleId="178">
    <w:name w:val="没有缩进（为图形使用）"/>
    <w:basedOn w:val="1"/>
    <w:autoRedefine/>
    <w:qFormat/>
    <w:uiPriority w:val="0"/>
    <w:pPr>
      <w:spacing w:before="120" w:beforeLines="0" w:beforeAutospacing="0" w:after="120" w:afterLines="0" w:afterAutospacing="0" w:line="360" w:lineRule="auto"/>
    </w:pPr>
    <w:rPr>
      <w:sz w:val="24"/>
    </w:rPr>
  </w:style>
  <w:style w:type="paragraph" w:customStyle="1" w:styleId="179">
    <w:name w:val="样式 样式 正文首行缩进 2 + 左  0 字符 + 首行缩进:  2.57 字符"/>
    <w:basedOn w:val="1"/>
    <w:next w:val="1"/>
    <w:autoRedefine/>
    <w:qFormat/>
    <w:uiPriority w:val="0"/>
    <w:pPr>
      <w:adjustRightInd w:val="0"/>
      <w:snapToGrid w:val="0"/>
      <w:spacing w:after="120" w:afterLines="0" w:afterAutospacing="0"/>
      <w:ind w:firstLine="540" w:firstLineChars="257"/>
    </w:pPr>
    <w:rPr>
      <w:sz w:val="21"/>
    </w:rPr>
  </w:style>
  <w:style w:type="paragraph" w:customStyle="1" w:styleId="180">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1">
    <w:name w:val="标书正文:  0.74 厘米"/>
    <w:basedOn w:val="1"/>
    <w:autoRedefine/>
    <w:qFormat/>
    <w:uiPriority w:val="0"/>
    <w:pPr>
      <w:snapToGrid w:val="0"/>
      <w:spacing w:line="360" w:lineRule="auto"/>
      <w:ind w:firstLine="420"/>
    </w:pPr>
    <w:rPr>
      <w:sz w:val="24"/>
    </w:rPr>
  </w:style>
  <w:style w:type="paragraph" w:customStyle="1" w:styleId="182">
    <w:name w:val="样式 正文缩进正文（首行缩进两字）表正文正文非缩进特点标题4段1 + 首行缩进:  2 字符"/>
    <w:basedOn w:val="15"/>
    <w:autoRedefine/>
    <w:qFormat/>
    <w:uiPriority w:val="0"/>
    <w:pPr>
      <w:ind w:firstLine="480" w:firstLineChars="200"/>
    </w:pPr>
  </w:style>
  <w:style w:type="paragraph" w:customStyle="1" w:styleId="18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84">
    <w:name w:val=" Char1 Char Char Char"/>
    <w:basedOn w:val="1"/>
    <w:autoRedefine/>
    <w:qFormat/>
    <w:uiPriority w:val="0"/>
    <w:rPr>
      <w:rFonts w:ascii="Tahoma" w:hAnsi="Tahoma"/>
      <w:sz w:val="24"/>
    </w:rPr>
  </w:style>
  <w:style w:type="paragraph" w:customStyle="1" w:styleId="185">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186">
    <w:name w:val="文章正文"/>
    <w:basedOn w:val="1"/>
    <w:autoRedefine/>
    <w:qFormat/>
    <w:uiPriority w:val="0"/>
    <w:pPr>
      <w:ind w:firstLine="560" w:firstLineChars="200"/>
    </w:pPr>
    <w:rPr>
      <w:rFonts w:ascii="仿宋_GB2312" w:hAnsi="宋体" w:eastAsia="仿宋_GB2312"/>
      <w:color w:val="000000"/>
    </w:rPr>
  </w:style>
  <w:style w:type="paragraph" w:customStyle="1" w:styleId="187">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88">
    <w:name w:val="xl53"/>
    <w:basedOn w:val="1"/>
    <w:autoRedefine/>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89">
    <w:name w:val=" Char Char1 Char"/>
    <w:basedOn w:val="1"/>
    <w:autoRedefine/>
    <w:qFormat/>
    <w:uiPriority w:val="0"/>
    <w:rPr>
      <w:rFonts w:ascii="Tahoma" w:hAnsi="Tahoma"/>
      <w:sz w:val="24"/>
      <w:szCs w:val="24"/>
    </w:rPr>
  </w:style>
  <w:style w:type="paragraph" w:customStyle="1" w:styleId="190">
    <w:name w:val="Item List"/>
    <w:autoRedefine/>
    <w:qFormat/>
    <w:uiPriority w:val="0"/>
    <w:pPr>
      <w:numPr>
        <w:ilvl w:val="0"/>
        <w:numId w:val="10"/>
      </w:numPr>
      <w:spacing w:line="300" w:lineRule="auto"/>
      <w:jc w:val="both"/>
    </w:pPr>
    <w:rPr>
      <w:rFonts w:ascii="Arial" w:hAnsi="Arial" w:eastAsia="宋体" w:cs="Times New Roman"/>
      <w:sz w:val="21"/>
      <w:lang w:val="en-US" w:eastAsia="zh-CN" w:bidi="ar-SA"/>
    </w:rPr>
  </w:style>
  <w:style w:type="paragraph" w:customStyle="1" w:styleId="191">
    <w:name w:val="附录4"/>
    <w:basedOn w:val="1"/>
    <w:next w:val="1"/>
    <w:autoRedefine/>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92">
    <w:name w:val="Char"/>
    <w:basedOn w:val="1"/>
    <w:autoRedefine/>
    <w:qFormat/>
    <w:uiPriority w:val="0"/>
    <w:pPr>
      <w:spacing w:line="240" w:lineRule="atLeast"/>
      <w:ind w:left="420" w:firstLine="420"/>
    </w:pPr>
    <w:rPr>
      <w:kern w:val="0"/>
      <w:sz w:val="21"/>
    </w:rPr>
  </w:style>
  <w:style w:type="paragraph" w:customStyle="1" w:styleId="19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94">
    <w:name w:val="Char1 Char Char Char"/>
    <w:basedOn w:val="1"/>
    <w:autoRedefine/>
    <w:qFormat/>
    <w:uiPriority w:val="0"/>
    <w:rPr>
      <w:rFonts w:ascii="Tahoma" w:hAnsi="Tahoma"/>
      <w:sz w:val="30"/>
    </w:rPr>
  </w:style>
  <w:style w:type="paragraph" w:customStyle="1" w:styleId="195">
    <w:name w:val="表头文本"/>
    <w:autoRedefine/>
    <w:qFormat/>
    <w:uiPriority w:val="0"/>
    <w:pPr>
      <w:jc w:val="center"/>
    </w:pPr>
    <w:rPr>
      <w:rFonts w:ascii="Arial" w:hAnsi="Arial" w:eastAsia="宋体" w:cs="Times New Roman"/>
      <w:b/>
      <w:sz w:val="21"/>
      <w:lang w:val="en-US" w:eastAsia="zh-CN" w:bidi="ar-SA"/>
    </w:rPr>
  </w:style>
  <w:style w:type="paragraph" w:customStyle="1" w:styleId="19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97">
    <w:name w:val=" Char Char Char"/>
    <w:basedOn w:val="1"/>
    <w:autoRedefine/>
    <w:qFormat/>
    <w:uiPriority w:val="0"/>
    <w:rPr>
      <w:rFonts w:ascii="Tahoma" w:hAnsi="Tahoma"/>
      <w:sz w:val="24"/>
    </w:rPr>
  </w:style>
  <w:style w:type="paragraph" w:customStyle="1" w:styleId="198">
    <w:name w:val=" Char Char1 Char Char Char Char Char Char Char Char Char Char Char Char Char Char"/>
    <w:basedOn w:val="1"/>
    <w:autoRedefine/>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00">
    <w:name w:val="样式 标题 1 + 居中 段前: 6 磅 段后: 6 磅 行距: 1.5 倍行距"/>
    <w:basedOn w:val="2"/>
    <w:autoRedefine/>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201">
    <w:name w:val="默认段落字体 Para Char Char Char Char Char Char Char"/>
    <w:basedOn w:val="1"/>
    <w:autoRedefine/>
    <w:qFormat/>
    <w:uiPriority w:val="0"/>
    <w:rPr>
      <w:rFonts w:ascii="Tahoma" w:hAnsi="Tahoma"/>
      <w:sz w:val="24"/>
    </w:rPr>
  </w:style>
  <w:style w:type="paragraph" w:customStyle="1" w:styleId="202">
    <w:name w:val="IN Feature"/>
    <w:next w:val="203"/>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3">
    <w:name w:val="IN Step"/>
    <w:basedOn w:val="1"/>
    <w:autoRedefine/>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04">
    <w:name w:val="首行缩进"/>
    <w:basedOn w:val="1"/>
    <w:autoRedefine/>
    <w:qFormat/>
    <w:uiPriority w:val="0"/>
    <w:pPr>
      <w:numPr>
        <w:ilvl w:val="0"/>
        <w:numId w:val="11"/>
      </w:numPr>
      <w:spacing w:line="360" w:lineRule="auto"/>
    </w:pPr>
    <w:rPr>
      <w:rFonts w:eastAsia="仿宋_GB2312"/>
    </w:rPr>
  </w:style>
  <w:style w:type="paragraph" w:customStyle="1" w:styleId="205">
    <w:name w:val="正文字缩2字"/>
    <w:basedOn w:val="1"/>
    <w:autoRedefine/>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06">
    <w:name w:val="正文表格"/>
    <w:basedOn w:val="1"/>
    <w:autoRedefine/>
    <w:qFormat/>
    <w:uiPriority w:val="0"/>
    <w:pPr>
      <w:adjustRightInd w:val="0"/>
      <w:spacing w:before="40" w:beforeLines="0" w:beforeAutospacing="0" w:after="40" w:afterLines="0" w:afterAutospacing="0"/>
    </w:pPr>
    <w:rPr>
      <w:sz w:val="24"/>
    </w:rPr>
  </w:style>
  <w:style w:type="paragraph" w:customStyle="1" w:styleId="207">
    <w:name w:val="表文字"/>
    <w:autoRedefine/>
    <w:qFormat/>
    <w:uiPriority w:val="0"/>
    <w:rPr>
      <w:rFonts w:ascii="宋体" w:hAnsi="Times New Roman" w:eastAsia="宋体" w:cs="Times New Roman"/>
      <w:kern w:val="2"/>
      <w:lang w:val="en-US" w:eastAsia="zh-CN" w:bidi="ar-SA"/>
    </w:rPr>
  </w:style>
  <w:style w:type="paragraph" w:customStyle="1" w:styleId="208">
    <w:name w:val="表格内文字"/>
    <w:basedOn w:val="30"/>
    <w:autoRedefine/>
    <w:qFormat/>
    <w:uiPriority w:val="0"/>
    <w:pPr>
      <w:adjustRightInd w:val="0"/>
    </w:pPr>
    <w:rPr>
      <w:color w:val="000000"/>
      <w:lang w:val="en-GB"/>
    </w:rPr>
  </w:style>
  <w:style w:type="paragraph" w:customStyle="1" w:styleId="209">
    <w:name w:val="Body Text Indent 2"/>
    <w:basedOn w:val="1"/>
    <w:autoRedefine/>
    <w:qFormat/>
    <w:uiPriority w:val="0"/>
    <w:pPr>
      <w:adjustRightInd w:val="0"/>
      <w:spacing w:before="120" w:beforeLines="0" w:beforeAutospacing="0"/>
      <w:ind w:firstLine="420"/>
      <w:textAlignment w:val="baseline"/>
    </w:pPr>
    <w:rPr>
      <w:sz w:val="24"/>
    </w:rPr>
  </w:style>
  <w:style w:type="paragraph" w:customStyle="1" w:styleId="210">
    <w:name w:val="标题无"/>
    <w:basedOn w:val="1"/>
    <w:autoRedefine/>
    <w:qFormat/>
    <w:uiPriority w:val="0"/>
    <w:pPr>
      <w:spacing w:line="360" w:lineRule="auto"/>
    </w:pPr>
    <w:rPr>
      <w:sz w:val="24"/>
    </w:rPr>
  </w:style>
  <w:style w:type="paragraph" w:customStyle="1" w:styleId="211">
    <w:name w:val="af"/>
    <w:basedOn w:val="1"/>
    <w:autoRedefine/>
    <w:qFormat/>
    <w:uiPriority w:val="0"/>
    <w:pPr>
      <w:widowControl/>
      <w:spacing w:line="300" w:lineRule="atLeast"/>
      <w:jc w:val="left"/>
    </w:pPr>
    <w:rPr>
      <w:rFonts w:ascii="宋体" w:hAnsi="宋体"/>
      <w:kern w:val="0"/>
      <w:sz w:val="18"/>
    </w:rPr>
  </w:style>
  <w:style w:type="paragraph" w:customStyle="1" w:styleId="212">
    <w:name w:val="简单回函地址"/>
    <w:basedOn w:val="1"/>
    <w:autoRedefine/>
    <w:qFormat/>
    <w:uiPriority w:val="0"/>
    <w:pPr>
      <w:adjustRightInd w:val="0"/>
      <w:snapToGrid w:val="0"/>
      <w:spacing w:line="360" w:lineRule="auto"/>
    </w:pPr>
    <w:rPr>
      <w:sz w:val="24"/>
    </w:rPr>
  </w:style>
  <w:style w:type="paragraph" w:customStyle="1" w:styleId="21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214">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215">
    <w:name w:val="正文1"/>
    <w:basedOn w:val="1"/>
    <w:autoRedefine/>
    <w:qFormat/>
    <w:uiPriority w:val="0"/>
    <w:pPr>
      <w:spacing w:line="300" w:lineRule="auto"/>
      <w:ind w:firstLine="200" w:firstLineChars="200"/>
    </w:pPr>
    <w:rPr>
      <w:sz w:val="24"/>
    </w:rPr>
  </w:style>
  <w:style w:type="paragraph" w:customStyle="1" w:styleId="216">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7">
    <w:name w:val="普通正文"/>
    <w:basedOn w:val="1"/>
    <w:autoRedefine/>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18">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219">
    <w:name w:val="图片文字"/>
    <w:basedOn w:val="1"/>
    <w:autoRedefine/>
    <w:qFormat/>
    <w:uiPriority w:val="0"/>
    <w:pPr>
      <w:spacing w:line="240" w:lineRule="atLeast"/>
      <w:jc w:val="center"/>
    </w:pPr>
    <w:rPr>
      <w:sz w:val="21"/>
    </w:rPr>
  </w:style>
  <w:style w:type="paragraph" w:customStyle="1" w:styleId="220">
    <w:name w:val="xl23"/>
    <w:basedOn w:val="1"/>
    <w:autoRedefine/>
    <w:qFormat/>
    <w:uiPriority w:val="0"/>
    <w:pPr>
      <w:widowControl/>
      <w:spacing w:before="100" w:beforeLines="0" w:beforeAutospacing="1" w:after="100" w:afterLines="0" w:afterAutospacing="1" w:line="360" w:lineRule="auto"/>
      <w:textAlignment w:val="top"/>
    </w:pPr>
    <w:rPr>
      <w:kern w:val="0"/>
      <w:sz w:val="24"/>
    </w:rPr>
  </w:style>
  <w:style w:type="paragraph" w:customStyle="1" w:styleId="221">
    <w:name w:val="附录3"/>
    <w:basedOn w:val="1"/>
    <w:next w:val="1"/>
    <w:autoRedefine/>
    <w:qFormat/>
    <w:uiPriority w:val="0"/>
    <w:pPr>
      <w:numPr>
        <w:ilvl w:val="0"/>
        <w:numId w:val="0"/>
      </w:numPr>
      <w:tabs>
        <w:tab w:val="left" w:pos="851"/>
      </w:tabs>
      <w:ind w:left="425" w:hanging="425"/>
      <w:outlineLvl w:val="2"/>
    </w:pPr>
    <w:rPr>
      <w:rFonts w:eastAsia="黑体"/>
      <w:b/>
      <w:sz w:val="32"/>
    </w:rPr>
  </w:style>
  <w:style w:type="paragraph" w:customStyle="1" w:styleId="222">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223">
    <w:name w:val="首行缩进 1"/>
    <w:basedOn w:val="1"/>
    <w:autoRedefine/>
    <w:qFormat/>
    <w:uiPriority w:val="0"/>
    <w:pPr>
      <w:spacing w:after="120" w:afterLines="0" w:afterAutospacing="0" w:line="360" w:lineRule="auto"/>
      <w:ind w:firstLine="200" w:firstLineChars="200"/>
    </w:pPr>
    <w:rPr>
      <w:sz w:val="24"/>
    </w:rPr>
  </w:style>
  <w:style w:type="paragraph" w:customStyle="1" w:styleId="224">
    <w:name w:val=" Char"/>
    <w:basedOn w:val="1"/>
    <w:autoRedefine/>
    <w:qFormat/>
    <w:uiPriority w:val="0"/>
    <w:pPr>
      <w:spacing w:line="240" w:lineRule="atLeast"/>
      <w:ind w:left="420" w:firstLine="420"/>
    </w:pPr>
    <w:rPr>
      <w:kern w:val="0"/>
      <w:sz w:val="21"/>
    </w:rPr>
  </w:style>
  <w:style w:type="paragraph" w:customStyle="1" w:styleId="225">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6">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27">
    <w:name w:val="样式1xz"/>
    <w:basedOn w:val="1"/>
    <w:autoRedefine/>
    <w:qFormat/>
    <w:uiPriority w:val="0"/>
    <w:pPr>
      <w:tabs>
        <w:tab w:val="left" w:pos="1050"/>
        <w:tab w:val="right" w:leader="dot" w:pos="8296"/>
      </w:tabs>
    </w:pPr>
    <w:rPr>
      <w:caps/>
      <w:spacing w:val="20"/>
      <w:sz w:val="24"/>
    </w:rPr>
  </w:style>
  <w:style w:type="paragraph" w:customStyle="1" w:styleId="228">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229">
    <w:name w:val=" Char1"/>
    <w:basedOn w:val="1"/>
    <w:autoRedefine/>
    <w:qFormat/>
    <w:uiPriority w:val="0"/>
    <w:rPr>
      <w:sz w:val="21"/>
    </w:rPr>
  </w:style>
  <w:style w:type="paragraph" w:customStyle="1" w:styleId="230">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231">
    <w:name w:val=" Char Char Char Char Char Char Char Char Char Char Char Char Char Char Char Char"/>
    <w:basedOn w:val="1"/>
    <w:autoRedefine/>
    <w:qFormat/>
    <w:uiPriority w:val="0"/>
    <w:pPr>
      <w:tabs>
        <w:tab w:val="left" w:pos="360"/>
      </w:tabs>
    </w:pPr>
    <w:rPr>
      <w:sz w:val="24"/>
    </w:rPr>
  </w:style>
  <w:style w:type="paragraph" w:customStyle="1" w:styleId="232">
    <w:name w:val="样式 宋体 五号 行距: 单倍行距"/>
    <w:basedOn w:val="1"/>
    <w:autoRedefine/>
    <w:qFormat/>
    <w:uiPriority w:val="0"/>
    <w:pPr>
      <w:adjustRightInd w:val="0"/>
      <w:jc w:val="left"/>
    </w:pPr>
    <w:rPr>
      <w:rFonts w:ascii="宋体" w:hAnsi="宋体"/>
      <w:kern w:val="0"/>
      <w:sz w:val="21"/>
    </w:rPr>
  </w:style>
  <w:style w:type="paragraph" w:customStyle="1" w:styleId="23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34">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5">
    <w:name w:val="bt"/>
    <w:basedOn w:val="1"/>
    <w:next w:val="22"/>
    <w:autoRedefine/>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36">
    <w:name w:val="图例"/>
    <w:basedOn w:val="1"/>
    <w:autoRedefine/>
    <w:qFormat/>
    <w:uiPriority w:val="0"/>
    <w:pPr>
      <w:spacing w:before="120" w:beforeLines="0" w:beforeAutospacing="0" w:after="120" w:afterLines="0" w:afterAutospacing="0" w:line="360" w:lineRule="auto"/>
      <w:jc w:val="center"/>
    </w:pPr>
    <w:rPr>
      <w:rFonts w:eastAsia="仿宋_GB2312"/>
      <w:b/>
      <w:sz w:val="24"/>
    </w:rPr>
  </w:style>
  <w:style w:type="character" w:customStyle="1" w:styleId="237">
    <w:name w:val="无"/>
    <w:autoRedefine/>
    <w:qFormat/>
    <w:uiPriority w:val="0"/>
  </w:style>
  <w:style w:type="character" w:customStyle="1" w:styleId="238">
    <w:name w:val="font21"/>
    <w:basedOn w:val="6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9.jpeg"/><Relationship Id="rId32" Type="http://schemas.openxmlformats.org/officeDocument/2006/relationships/image" Target="media/image8.png"/><Relationship Id="rId31" Type="http://schemas.openxmlformats.org/officeDocument/2006/relationships/image" Target="media/image7.jpe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21016;&#20025;2021\2024&#24180;&#25307;&#26631;&#39033;&#30446;\&#28074;&#38517;&#21306;\&#37325;&#24198;&#24066;&#20044;&#27743;&#33322;&#36947;&#31649;&#29702;&#22788;\2024&#24180;&#19978;&#21322;&#24180;&#24230;&#20044;&#27743;&#38505;&#28393;&#33322;&#27573;&#27827;&#24202;&#22320;&#24418;&#22270;&#27979;&#37327;&#39033;&#30446;WJ2024003\&#37325;&#24198;&#24066;&#20044;&#27743;&#33322;&#36947;&#31649;&#29702;&#22788;&#20851;&#20110;2024&#24180;&#19978;&#21322;&#24180;&#24230;&#20044;&#27743;&#38505;&#28393;&#33322;&#27573;&#27827;&#24202;&#22320;&#24418;&#22270;&#27979;&#37327;&#39033;&#30446;&#38480;&#39069;&#20197;&#19979;&#30923;&#21830;&#35780;&#20998;&#37319;&#36141;&#25991;&#20214;.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重庆市乌江航道管理处关于2024年上半年度乌江险滩航段河床地形图测量项目限额以下磋商评分采购文件.docx</Template>
  <Manager>罗成</Manager>
  <Pages>38</Pages>
  <Words>14379</Words>
  <Characters>15254</Characters>
  <Lines>89</Lines>
  <Paragraphs>25</Paragraphs>
  <TotalTime>5</TotalTime>
  <ScaleCrop>false</ScaleCrop>
  <LinksUpToDate>false</LinksUpToDate>
  <CharactersWithSpaces>16468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2024-09-09T05:07:00Z</dcterms:created>
  <dc:creator>剪夏罗</dc:creator>
  <cp:lastModifiedBy>WPS_1618273814</cp:lastModifiedBy>
  <dcterms:modified xsi:type="dcterms:W3CDTF">2024-09-10T07:29:35Z</dcterms:modified>
  <dc:title>竞争性谈判文件</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9232ABA59F614B24B24FA7BA8197FDE6_11</vt:lpwstr>
  </property>
</Properties>
</file>